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page-break" w:displacedByCustomXml="next"/>
    <w:bookmarkEnd w:id="0" w:displacedByCustomXml="next"/>
    <w:sdt>
      <w:sdtPr>
        <w:rPr>
          <w:rFonts w:cs="Arial"/>
        </w:rPr>
        <w:id w:val="220876963"/>
        <w:docPartObj>
          <w:docPartGallery w:val="Cover Pages"/>
          <w:docPartUnique/>
        </w:docPartObj>
      </w:sdtPr>
      <w:sdtContent>
        <w:p w:rsidR="00D038A1" w:rsidRPr="002E330F" w:rsidRDefault="00D038A1" w:rsidP="00002C47">
          <w:pPr>
            <w:ind w:left="720"/>
            <w:jc w:val="right"/>
            <w:rPr>
              <w:rFonts w:cs="Arial"/>
            </w:rPr>
          </w:pPr>
        </w:p>
        <w:p w:rsidR="00D038A1" w:rsidRPr="002E330F" w:rsidRDefault="00D038A1" w:rsidP="00002C47">
          <w:pPr>
            <w:ind w:left="720"/>
            <w:rPr>
              <w:rFonts w:cs="Arial"/>
            </w:rPr>
          </w:pPr>
        </w:p>
        <w:p w:rsidR="00D038A1" w:rsidRPr="002E330F" w:rsidRDefault="00D038A1" w:rsidP="00002C47">
          <w:pPr>
            <w:ind w:left="720"/>
            <w:rPr>
              <w:rFonts w:cs="Arial"/>
            </w:rPr>
          </w:pPr>
        </w:p>
        <w:p w:rsidR="00D038A1" w:rsidRPr="002E330F" w:rsidRDefault="00D038A1" w:rsidP="00002C47">
          <w:pPr>
            <w:ind w:left="720"/>
            <w:rPr>
              <w:rFonts w:cs="Arial"/>
            </w:rPr>
          </w:pPr>
        </w:p>
        <w:p w:rsidR="00D038A1" w:rsidRPr="002E330F" w:rsidRDefault="00D038A1" w:rsidP="00002C47">
          <w:pPr>
            <w:ind w:left="720"/>
            <w:rPr>
              <w:rFonts w:cs="Arial"/>
            </w:rPr>
          </w:pPr>
          <w:r>
            <w:rPr>
              <w:rFonts w:cs="Arial"/>
              <w:noProof/>
              <w:lang w:val="en-US" w:eastAsia="zh-TW"/>
            </w:rPr>
            <w:pict>
              <v:shapetype id="_x0000_t202" coordsize="21600,21600" o:spt="202" path="m,l,21600r21600,l21600,xe">
                <v:stroke joinstyle="miter"/>
                <v:path gradientshapeok="t" o:connecttype="rect"/>
              </v:shapetype>
              <v:shape id="Text Box 2" o:spid="_x0000_s3074" type="#_x0000_t202" style="position:absolute;left:0;text-align:left;margin-left:28.35pt;margin-top:19.4pt;width:428.4pt;height:111.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atQ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" filled="f" stroked="f">
                <v:textbox style="mso-next-textbox:#Text Box 2">
                  <w:txbxContent>
                    <w:bookmarkStart w:id="1" w:name="_Toc324429979" w:displacedByCustomXml="next"/>
                    <w:bookmarkStart w:id="2" w:name="_Toc324429932" w:displacedByCustomXml="next"/>
                    <w:bookmarkStart w:id="3" w:name="_Toc323040046" w:displacedByCustomXml="next"/>
                    <w:bookmarkStart w:id="4" w:name="_Toc322600037" w:displacedByCustomXml="next"/>
                    <w:bookmarkStart w:id="5" w:name="_Toc322600015" w:displacedByCustomXml="next"/>
                    <w:bookmarkStart w:id="6" w:name="_Toc322599008" w:displacedByCustomXml="next"/>
                    <w:sdt>
                      <w:sdtPr>
                        <w:alias w:val="Title"/>
                        <w:tag w:val=""/>
                        <w:id w:val="8764486"/>
                        <w:dataBinding w:prefixMappings="xmlns:ns0='http://purl.org/dc/elements/1.1/' xmlns:ns1='http://schemas.openxmlformats.org/package/2006/metadata/core-properties' " w:xpath="/ns1:coreProperties[1]/ns0:title[1]" w:storeItemID="{6C3C8BC8-F283-45AE-878A-BAB7291924A1}"/>
                        <w:text/>
                      </w:sdtPr>
                      <w:sdtContent>
                        <w:p w:rsidR="00D038A1" w:rsidRPr="00C80488" w:rsidRDefault="00D038A1" w:rsidP="00C80488">
                          <w:pPr>
                            <w:pStyle w:val="PublicationTitle"/>
                          </w:pPr>
                          <w:r>
                            <w:t>Locality Profile</w:t>
                          </w:r>
                        </w:p>
                      </w:sdtContent>
                    </w:sdt>
                    <w:p w:rsidR="00D038A1" w:rsidRDefault="00D038A1" w:rsidP="005D14C7">
                      <w:pPr>
                        <w:pStyle w:val="Publicationsubtitle"/>
                      </w:pPr>
                      <w:r>
                        <w:t>Northern Locality</w:t>
                      </w:r>
                    </w:p>
                    <w:bookmarkEnd w:id="6"/>
                    <w:bookmarkEnd w:id="5"/>
                    <w:bookmarkEnd w:id="4"/>
                    <w:bookmarkEnd w:id="3"/>
                    <w:bookmarkEnd w:id="2"/>
                    <w:bookmarkEnd w:id="1"/>
                    <w:p w:rsidR="00D038A1" w:rsidRPr="005D14C7" w:rsidRDefault="00D038A1" w:rsidP="005D14C7">
                      <w:pPr>
                        <w:pStyle w:val="Publicationsubtitle"/>
                      </w:pPr>
                      <w:r>
                        <w:rPr>
                          <w:b w:val="0"/>
                          <w:color w:val="auto"/>
                        </w:rPr>
                        <w:t>July 2020</w:t>
                      </w:r>
                    </w:p>
                  </w:txbxContent>
                </v:textbox>
              </v:shape>
            </w:pict>
          </w:r>
        </w:p>
        <w:p w:rsidR="00D038A1" w:rsidRPr="002E330F" w:rsidRDefault="00D038A1" w:rsidP="00002C47">
          <w:pPr>
            <w:ind w:left="720"/>
            <w:rPr>
              <w:rFonts w:cs="Arial"/>
            </w:rPr>
          </w:pPr>
        </w:p>
        <w:p w:rsidR="00D038A1" w:rsidRDefault="00D038A1" w:rsidP="00002C47">
          <w:pPr>
            <w:ind w:left="720"/>
            <w:rPr>
              <w:rFonts w:cs="Arial"/>
            </w:rPr>
          </w:pPr>
        </w:p>
        <w:p w:rsidR="00D038A1" w:rsidRDefault="00D038A1" w:rsidP="00002C47">
          <w:pPr>
            <w:ind w:left="720"/>
            <w:rPr>
              <w:rFonts w:cs="Arial"/>
            </w:rPr>
          </w:pPr>
        </w:p>
        <w:p w:rsidR="00D038A1" w:rsidRDefault="00D038A1" w:rsidP="00002C47">
          <w:pPr>
            <w:ind w:left="720"/>
            <w:rPr>
              <w:rFonts w:cs="Arial"/>
            </w:rPr>
          </w:pPr>
        </w:p>
        <w:p w:rsidR="00D038A1" w:rsidRDefault="00D038A1" w:rsidP="00002C47">
          <w:pPr>
            <w:ind w:left="720"/>
            <w:rPr>
              <w:rFonts w:cs="Arial"/>
            </w:rPr>
          </w:pPr>
        </w:p>
        <w:p w:rsidR="00D038A1" w:rsidRDefault="00D038A1" w:rsidP="00002C47">
          <w:pPr>
            <w:ind w:left="720"/>
            <w:rPr>
              <w:rFonts w:cs="Arial"/>
            </w:rPr>
          </w:pPr>
        </w:p>
        <w:p w:rsidR="00D038A1" w:rsidRDefault="00D038A1" w:rsidP="00002C47">
          <w:pPr>
            <w:ind w:left="720"/>
            <w:rPr>
              <w:rFonts w:cs="Arial"/>
            </w:rPr>
          </w:pPr>
        </w:p>
        <w:p w:rsidR="00D038A1" w:rsidRDefault="00D038A1" w:rsidP="00002C47">
          <w:pPr>
            <w:spacing w:after="200" w:line="276" w:lineRule="auto"/>
            <w:ind w:left="720"/>
            <w:rPr>
              <w:rFonts w:cs="Arial"/>
            </w:rPr>
            <w:sectPr w:rsidR="00D038A1" w:rsidSect="00FB5C55">
              <w:headerReference w:type="default" r:id="rId7"/>
              <w:footerReference w:type="default" r:id="rId8"/>
              <w:pgSz w:w="11906" w:h="16838"/>
              <w:pgMar w:top="1418" w:right="1133" w:bottom="1134" w:left="851" w:header="0" w:footer="397" w:gutter="0"/>
              <w:pgNumType w:start="1"/>
              <w:cols w:space="708"/>
              <w:docGrid w:linePitch="360"/>
            </w:sectPr>
          </w:pPr>
        </w:p>
      </w:sdtContent>
    </w:sdt>
    <w:p w:rsidR="00D038A1" w:rsidRDefault="00D038A1">
      <w:pPr>
        <w:pStyle w:val="Heading5"/>
      </w:pPr>
      <w:bookmarkStart w:id="7" w:name="_GoBack"/>
      <w:bookmarkEnd w:id="7"/>
    </w:p>
    <w:p w:rsidR="00D038A1" w:rsidRDefault="00D038A1" w:rsidP="00D038A1">
      <w:pPr>
        <w:rPr>
          <w:noProof/>
        </w:rPr>
      </w:pPr>
      <w:r>
        <w:t>Table of Contents</w:t>
      </w:r>
      <w:r>
        <w:fldChar w:fldCharType="begin"/>
      </w:r>
      <w:r>
        <w:instrText xml:space="preserve"> TOC \o "2-4" \t "Heading 2, Heading 3, Heading 4" </w:instrText>
      </w:r>
      <w:r>
        <w:fldChar w:fldCharType="separate"/>
      </w:r>
    </w:p>
    <w:p w:rsidR="00D038A1" w:rsidRDefault="00D038A1">
      <w:pPr>
        <w:pStyle w:val="TOC1"/>
        <w:tabs>
          <w:tab w:val="right" w:leader="dot" w:pos="9911"/>
        </w:tabs>
        <w:rPr>
          <w:rFonts w:asciiTheme="minorHAnsi" w:eastAsiaTheme="minorEastAsia" w:hAnsiTheme="minorHAnsi"/>
          <w:noProof/>
          <w:sz w:val="22"/>
          <w:lang w:eastAsia="en-GB"/>
        </w:rPr>
      </w:pPr>
      <w:r>
        <w:rPr>
          <w:noProof/>
        </w:rPr>
        <w:t>Summary Table</w:t>
      </w:r>
      <w:r>
        <w:rPr>
          <w:noProof/>
        </w:rPr>
        <w:tab/>
      </w:r>
      <w:r>
        <w:rPr>
          <w:noProof/>
        </w:rPr>
        <w:fldChar w:fldCharType="begin"/>
      </w:r>
      <w:r>
        <w:rPr>
          <w:noProof/>
        </w:rPr>
        <w:instrText xml:space="preserve"> PAGEREF _Toc48134778 \h </w:instrText>
      </w:r>
      <w:r>
        <w:rPr>
          <w:noProof/>
        </w:rPr>
      </w:r>
      <w:r>
        <w:rPr>
          <w:noProof/>
        </w:rPr>
        <w:fldChar w:fldCharType="separate"/>
      </w:r>
      <w:r>
        <w:rPr>
          <w:noProof/>
        </w:rPr>
        <w:t>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Notes for this profile:</w:t>
      </w:r>
      <w:r>
        <w:rPr>
          <w:noProof/>
        </w:rPr>
        <w:tab/>
      </w:r>
      <w:r>
        <w:rPr>
          <w:noProof/>
        </w:rPr>
        <w:fldChar w:fldCharType="begin"/>
      </w:r>
      <w:r>
        <w:rPr>
          <w:noProof/>
        </w:rPr>
        <w:instrText xml:space="preserve"> PAGEREF _Toc48134779 \h </w:instrText>
      </w:r>
      <w:r>
        <w:rPr>
          <w:noProof/>
        </w:rPr>
      </w:r>
      <w:r>
        <w:rPr>
          <w:noProof/>
        </w:rPr>
        <w:fldChar w:fldCharType="separate"/>
      </w:r>
      <w:r>
        <w:rPr>
          <w:noProof/>
        </w:rPr>
        <w:t>8</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Demographics</w:t>
      </w:r>
      <w:r>
        <w:rPr>
          <w:noProof/>
        </w:rPr>
        <w:tab/>
      </w:r>
      <w:r>
        <w:rPr>
          <w:noProof/>
        </w:rPr>
        <w:fldChar w:fldCharType="begin"/>
      </w:r>
      <w:r>
        <w:rPr>
          <w:noProof/>
        </w:rPr>
        <w:instrText xml:space="preserve"> PAGEREF _Toc48134780 \h </w:instrText>
      </w:r>
      <w:r>
        <w:rPr>
          <w:noProof/>
        </w:rPr>
      </w:r>
      <w:r>
        <w:rPr>
          <w:noProof/>
        </w:rPr>
        <w:fldChar w:fldCharType="separate"/>
      </w:r>
      <w:r>
        <w:rPr>
          <w:noProof/>
        </w:rPr>
        <w:t>9</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Summary:</w:t>
      </w:r>
      <w:r>
        <w:rPr>
          <w:noProof/>
        </w:rPr>
        <w:tab/>
      </w:r>
      <w:r>
        <w:rPr>
          <w:noProof/>
        </w:rPr>
        <w:fldChar w:fldCharType="begin"/>
      </w:r>
      <w:r>
        <w:rPr>
          <w:noProof/>
        </w:rPr>
        <w:instrText xml:space="preserve"> PAGEREF _Toc48134781 \h </w:instrText>
      </w:r>
      <w:r>
        <w:rPr>
          <w:noProof/>
        </w:rPr>
      </w:r>
      <w:r>
        <w:rPr>
          <w:noProof/>
        </w:rPr>
        <w:fldChar w:fldCharType="separate"/>
      </w:r>
      <w:r>
        <w:rPr>
          <w:noProof/>
        </w:rPr>
        <w:t>9</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Population</w:t>
      </w:r>
      <w:r>
        <w:rPr>
          <w:noProof/>
        </w:rPr>
        <w:tab/>
      </w:r>
      <w:r>
        <w:rPr>
          <w:noProof/>
        </w:rPr>
        <w:fldChar w:fldCharType="begin"/>
      </w:r>
      <w:r>
        <w:rPr>
          <w:noProof/>
        </w:rPr>
        <w:instrText xml:space="preserve"> PAGEREF _Toc48134782 \h </w:instrText>
      </w:r>
      <w:r>
        <w:rPr>
          <w:noProof/>
        </w:rPr>
      </w:r>
      <w:r>
        <w:rPr>
          <w:noProof/>
        </w:rPr>
        <w:fldChar w:fldCharType="separate"/>
      </w:r>
      <w:r>
        <w:rPr>
          <w:noProof/>
        </w:rPr>
        <w:t>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 Population breakdown in Northern.</w:t>
      </w:r>
      <w:r>
        <w:rPr>
          <w:noProof/>
        </w:rPr>
        <w:tab/>
      </w:r>
      <w:r>
        <w:rPr>
          <w:noProof/>
        </w:rPr>
        <w:fldChar w:fldCharType="begin"/>
      </w:r>
      <w:r>
        <w:rPr>
          <w:noProof/>
        </w:rPr>
        <w:instrText xml:space="preserve"> PAGEREF _Toc48134783 \h </w:instrText>
      </w:r>
      <w:r>
        <w:rPr>
          <w:noProof/>
        </w:rPr>
      </w:r>
      <w:r>
        <w:rPr>
          <w:noProof/>
        </w:rPr>
        <w:fldChar w:fldCharType="separate"/>
      </w:r>
      <w:r>
        <w:rPr>
          <w:noProof/>
        </w:rPr>
        <w:t>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 Population time trend and projection.</w:t>
      </w:r>
      <w:r>
        <w:rPr>
          <w:noProof/>
        </w:rPr>
        <w:tab/>
      </w:r>
      <w:r>
        <w:rPr>
          <w:noProof/>
        </w:rPr>
        <w:fldChar w:fldCharType="begin"/>
      </w:r>
      <w:r>
        <w:rPr>
          <w:noProof/>
        </w:rPr>
        <w:instrText xml:space="preserve"> PAGEREF _Toc48134784 \h </w:instrText>
      </w:r>
      <w:r>
        <w:rPr>
          <w:noProof/>
        </w:rPr>
      </w:r>
      <w:r>
        <w:rPr>
          <w:noProof/>
        </w:rPr>
        <w:fldChar w:fldCharType="separate"/>
      </w:r>
      <w:r>
        <w:rPr>
          <w:noProof/>
        </w:rPr>
        <w:t>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 Change in population structure over the last five years.</w:t>
      </w:r>
      <w:r>
        <w:rPr>
          <w:noProof/>
        </w:rPr>
        <w:tab/>
      </w:r>
      <w:r>
        <w:rPr>
          <w:noProof/>
        </w:rPr>
        <w:fldChar w:fldCharType="begin"/>
      </w:r>
      <w:r>
        <w:rPr>
          <w:noProof/>
        </w:rPr>
        <w:instrText xml:space="preserve"> PAGEREF _Toc48134785 \h </w:instrText>
      </w:r>
      <w:r>
        <w:rPr>
          <w:noProof/>
        </w:rPr>
      </w:r>
      <w:r>
        <w:rPr>
          <w:noProof/>
        </w:rPr>
        <w:fldChar w:fldCharType="separate"/>
      </w:r>
      <w:r>
        <w:rPr>
          <w:noProof/>
        </w:rPr>
        <w:t>10</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Deprivation</w:t>
      </w:r>
      <w:r>
        <w:rPr>
          <w:noProof/>
        </w:rPr>
        <w:tab/>
      </w:r>
      <w:r>
        <w:rPr>
          <w:noProof/>
        </w:rPr>
        <w:fldChar w:fldCharType="begin"/>
      </w:r>
      <w:r>
        <w:rPr>
          <w:noProof/>
        </w:rPr>
        <w:instrText xml:space="preserve"> PAGEREF _Toc48134786 \h </w:instrText>
      </w:r>
      <w:r>
        <w:rPr>
          <w:noProof/>
        </w:rPr>
      </w:r>
      <w:r>
        <w:rPr>
          <w:noProof/>
        </w:rPr>
        <w:fldChar w:fldCharType="separate"/>
      </w:r>
      <w:r>
        <w:rPr>
          <w:noProof/>
        </w:rPr>
        <w:t>10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1: Percentage population living in the 2016 and 2020 SIMD Datazone Quintiles</w:t>
      </w:r>
      <w:r>
        <w:rPr>
          <w:noProof/>
        </w:rPr>
        <w:tab/>
      </w:r>
      <w:r>
        <w:rPr>
          <w:noProof/>
        </w:rPr>
        <w:fldChar w:fldCharType="begin"/>
      </w:r>
      <w:r>
        <w:rPr>
          <w:noProof/>
        </w:rPr>
        <w:instrText xml:space="preserve"> PAGEREF _Toc48134787 \h </w:instrText>
      </w:r>
      <w:r>
        <w:rPr>
          <w:noProof/>
        </w:rPr>
      </w:r>
      <w:r>
        <w:rPr>
          <w:noProof/>
        </w:rPr>
        <w:fldChar w:fldCharType="separate"/>
      </w:r>
      <w:r>
        <w:rPr>
          <w:noProof/>
        </w:rPr>
        <w:t>10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 Map of Data Zones within Northern coloured by SIMD quintiles.</w:t>
      </w:r>
      <w:r>
        <w:rPr>
          <w:noProof/>
        </w:rPr>
        <w:tab/>
      </w:r>
      <w:r>
        <w:rPr>
          <w:noProof/>
        </w:rPr>
        <w:fldChar w:fldCharType="begin"/>
      </w:r>
      <w:r>
        <w:rPr>
          <w:noProof/>
        </w:rPr>
        <w:instrText xml:space="preserve"> PAGEREF _Toc48134788 \h </w:instrText>
      </w:r>
      <w:r>
        <w:rPr>
          <w:noProof/>
        </w:rPr>
      </w:r>
      <w:r>
        <w:rPr>
          <w:noProof/>
        </w:rPr>
        <w:fldChar w:fldCharType="separate"/>
      </w:r>
      <w:r>
        <w:rPr>
          <w:noProof/>
        </w:rPr>
        <w:t>11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5: Proportion of the population that reside in each 2020 SIMD quintile by domain.</w:t>
      </w:r>
      <w:r>
        <w:rPr>
          <w:noProof/>
        </w:rPr>
        <w:tab/>
      </w:r>
      <w:r>
        <w:rPr>
          <w:noProof/>
        </w:rPr>
        <w:fldChar w:fldCharType="begin"/>
      </w:r>
      <w:r>
        <w:rPr>
          <w:noProof/>
        </w:rPr>
        <w:instrText xml:space="preserve"> PAGEREF _Toc48134789 \h </w:instrText>
      </w:r>
      <w:r>
        <w:rPr>
          <w:noProof/>
        </w:rPr>
      </w:r>
      <w:r>
        <w:rPr>
          <w:noProof/>
        </w:rPr>
        <w:fldChar w:fldCharType="separate"/>
      </w:r>
      <w:r>
        <w:rPr>
          <w:noProof/>
        </w:rPr>
        <w:t>11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6: Percentage population living in the 2016 and the 2020 SIMD and Domain Quintiles</w:t>
      </w:r>
      <w:r>
        <w:rPr>
          <w:noProof/>
        </w:rPr>
        <w:tab/>
      </w:r>
      <w:r>
        <w:rPr>
          <w:noProof/>
        </w:rPr>
        <w:fldChar w:fldCharType="begin"/>
      </w:r>
      <w:r>
        <w:rPr>
          <w:noProof/>
        </w:rPr>
        <w:instrText xml:space="preserve"> PAGEREF _Toc48134790 \h </w:instrText>
      </w:r>
      <w:r>
        <w:rPr>
          <w:noProof/>
        </w:rPr>
      </w:r>
      <w:r>
        <w:rPr>
          <w:noProof/>
        </w:rPr>
        <w:fldChar w:fldCharType="separate"/>
      </w:r>
      <w:r>
        <w:rPr>
          <w:noProof/>
        </w:rPr>
        <w:t>12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Households</w:t>
      </w:r>
      <w:r>
        <w:rPr>
          <w:noProof/>
        </w:rPr>
        <w:tab/>
      </w:r>
      <w:r>
        <w:rPr>
          <w:noProof/>
        </w:rPr>
        <w:fldChar w:fldCharType="begin"/>
      </w:r>
      <w:r>
        <w:rPr>
          <w:noProof/>
        </w:rPr>
        <w:instrText xml:space="preserve"> PAGEREF _Toc48134791 \h </w:instrText>
      </w:r>
      <w:r>
        <w:rPr>
          <w:noProof/>
        </w:rPr>
      </w:r>
      <w:r>
        <w:rPr>
          <w:noProof/>
        </w:rPr>
        <w:fldChar w:fldCharType="separate"/>
      </w:r>
      <w:r>
        <w:rPr>
          <w:noProof/>
        </w:rPr>
        <w:t>13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Summary:</w:t>
      </w:r>
      <w:r>
        <w:rPr>
          <w:noProof/>
        </w:rPr>
        <w:tab/>
      </w:r>
      <w:r>
        <w:rPr>
          <w:noProof/>
        </w:rPr>
        <w:fldChar w:fldCharType="begin"/>
      </w:r>
      <w:r>
        <w:rPr>
          <w:noProof/>
        </w:rPr>
        <w:instrText xml:space="preserve"> PAGEREF _Toc48134792 \h </w:instrText>
      </w:r>
      <w:r>
        <w:rPr>
          <w:noProof/>
        </w:rPr>
      </w:r>
      <w:r>
        <w:rPr>
          <w:noProof/>
        </w:rPr>
        <w:fldChar w:fldCharType="separate"/>
      </w:r>
      <w:r>
        <w:rPr>
          <w:noProof/>
        </w:rPr>
        <w:t>13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7: Number of dwellings time trend.</w:t>
      </w:r>
      <w:r>
        <w:rPr>
          <w:noProof/>
        </w:rPr>
        <w:tab/>
      </w:r>
      <w:r>
        <w:rPr>
          <w:noProof/>
        </w:rPr>
        <w:fldChar w:fldCharType="begin"/>
      </w:r>
      <w:r>
        <w:rPr>
          <w:noProof/>
        </w:rPr>
        <w:instrText xml:space="preserve"> PAGEREF _Toc48134793 \h </w:instrText>
      </w:r>
      <w:r>
        <w:rPr>
          <w:noProof/>
        </w:rPr>
      </w:r>
      <w:r>
        <w:rPr>
          <w:noProof/>
        </w:rPr>
        <w:fldChar w:fldCharType="separate"/>
      </w:r>
      <w:r>
        <w:rPr>
          <w:noProof/>
        </w:rPr>
        <w:t>13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2: Breakdown of dwelling types by year for Northern locality.</w:t>
      </w:r>
      <w:r>
        <w:rPr>
          <w:noProof/>
        </w:rPr>
        <w:tab/>
      </w:r>
      <w:r>
        <w:rPr>
          <w:noProof/>
        </w:rPr>
        <w:fldChar w:fldCharType="begin"/>
      </w:r>
      <w:r>
        <w:rPr>
          <w:noProof/>
        </w:rPr>
        <w:instrText xml:space="preserve"> PAGEREF _Toc48134794 \h </w:instrText>
      </w:r>
      <w:r>
        <w:rPr>
          <w:noProof/>
        </w:rPr>
      </w:r>
      <w:r>
        <w:rPr>
          <w:noProof/>
        </w:rPr>
        <w:fldChar w:fldCharType="separate"/>
      </w:r>
      <w:r>
        <w:rPr>
          <w:noProof/>
        </w:rPr>
        <w:t>14</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8: Breakdown of households by council tax band for Northern in 2019.</w:t>
      </w:r>
      <w:r>
        <w:rPr>
          <w:noProof/>
        </w:rPr>
        <w:tab/>
      </w:r>
      <w:r>
        <w:rPr>
          <w:noProof/>
        </w:rPr>
        <w:fldChar w:fldCharType="begin"/>
      </w:r>
      <w:r>
        <w:rPr>
          <w:noProof/>
        </w:rPr>
        <w:instrText xml:space="preserve"> PAGEREF _Toc48134795 \h </w:instrText>
      </w:r>
      <w:r>
        <w:rPr>
          <w:noProof/>
        </w:rPr>
      </w:r>
      <w:r>
        <w:rPr>
          <w:noProof/>
        </w:rPr>
        <w:fldChar w:fldCharType="separate"/>
      </w:r>
      <w:r>
        <w:rPr>
          <w:noProof/>
        </w:rPr>
        <w:t>14</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3: Percentage of households by council tax band for Northern in 2019.</w:t>
      </w:r>
      <w:r>
        <w:rPr>
          <w:noProof/>
        </w:rPr>
        <w:tab/>
      </w:r>
      <w:r>
        <w:rPr>
          <w:noProof/>
        </w:rPr>
        <w:fldChar w:fldCharType="begin"/>
      </w:r>
      <w:r>
        <w:rPr>
          <w:noProof/>
        </w:rPr>
        <w:instrText xml:space="preserve"> PAGEREF _Toc48134796 \h </w:instrText>
      </w:r>
      <w:r>
        <w:rPr>
          <w:noProof/>
        </w:rPr>
      </w:r>
      <w:r>
        <w:rPr>
          <w:noProof/>
        </w:rPr>
        <w:fldChar w:fldCharType="separate"/>
      </w:r>
      <w:r>
        <w:rPr>
          <w:noProof/>
        </w:rPr>
        <w:t>14</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Services</w:t>
      </w:r>
      <w:r>
        <w:rPr>
          <w:noProof/>
        </w:rPr>
        <w:tab/>
      </w:r>
      <w:r>
        <w:rPr>
          <w:noProof/>
        </w:rPr>
        <w:fldChar w:fldCharType="begin"/>
      </w:r>
      <w:r>
        <w:rPr>
          <w:noProof/>
        </w:rPr>
        <w:instrText xml:space="preserve"> PAGEREF _Toc48134797 \h </w:instrText>
      </w:r>
      <w:r>
        <w:rPr>
          <w:noProof/>
        </w:rPr>
      </w:r>
      <w:r>
        <w:rPr>
          <w:noProof/>
        </w:rPr>
        <w:fldChar w:fldCharType="separate"/>
      </w:r>
      <w:r>
        <w:rPr>
          <w:noProof/>
        </w:rPr>
        <w:t>15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9: Map of GP practices by locality in East Ayrshire HSCP</w:t>
      </w:r>
      <w:r w:rsidRPr="00CA7A75">
        <w:rPr>
          <w:noProof/>
          <w:vertAlign w:val="superscript"/>
        </w:rPr>
        <w:t>2</w:t>
      </w:r>
      <w:r>
        <w:rPr>
          <w:noProof/>
        </w:rPr>
        <w:t>.</w:t>
      </w:r>
      <w:r>
        <w:rPr>
          <w:noProof/>
        </w:rPr>
        <w:tab/>
      </w:r>
      <w:r>
        <w:rPr>
          <w:noProof/>
        </w:rPr>
        <w:fldChar w:fldCharType="begin"/>
      </w:r>
      <w:r>
        <w:rPr>
          <w:noProof/>
        </w:rPr>
        <w:instrText xml:space="preserve"> PAGEREF _Toc48134798 \h </w:instrText>
      </w:r>
      <w:r>
        <w:rPr>
          <w:noProof/>
        </w:rPr>
      </w:r>
      <w:r>
        <w:rPr>
          <w:noProof/>
        </w:rPr>
        <w:fldChar w:fldCharType="separate"/>
      </w:r>
      <w:r>
        <w:rPr>
          <w:noProof/>
        </w:rPr>
        <w:t>15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4: Number of each type of service in Northern Locality</w:t>
      </w:r>
      <w:r w:rsidRPr="00CA7A75">
        <w:rPr>
          <w:noProof/>
          <w:vertAlign w:val="superscript"/>
        </w:rPr>
        <w:t>2</w:t>
      </w:r>
      <w:r>
        <w:rPr>
          <w:noProof/>
        </w:rPr>
        <w:t>.</w:t>
      </w:r>
      <w:r>
        <w:rPr>
          <w:noProof/>
        </w:rPr>
        <w:tab/>
      </w:r>
      <w:r>
        <w:rPr>
          <w:noProof/>
        </w:rPr>
        <w:fldChar w:fldCharType="begin"/>
      </w:r>
      <w:r>
        <w:rPr>
          <w:noProof/>
        </w:rPr>
        <w:instrText xml:space="preserve"> PAGEREF _Toc48134799 \h </w:instrText>
      </w:r>
      <w:r>
        <w:rPr>
          <w:noProof/>
        </w:rPr>
      </w:r>
      <w:r>
        <w:rPr>
          <w:noProof/>
        </w:rPr>
        <w:fldChar w:fldCharType="separate"/>
      </w:r>
      <w:r>
        <w:rPr>
          <w:noProof/>
        </w:rPr>
        <w:t>15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General Health</w:t>
      </w:r>
      <w:r>
        <w:rPr>
          <w:noProof/>
        </w:rPr>
        <w:tab/>
      </w:r>
      <w:r>
        <w:rPr>
          <w:noProof/>
        </w:rPr>
        <w:fldChar w:fldCharType="begin"/>
      </w:r>
      <w:r>
        <w:rPr>
          <w:noProof/>
        </w:rPr>
        <w:instrText xml:space="preserve"> PAGEREF _Toc48134800 \h </w:instrText>
      </w:r>
      <w:r>
        <w:rPr>
          <w:noProof/>
        </w:rPr>
      </w:r>
      <w:r>
        <w:rPr>
          <w:noProof/>
        </w:rPr>
        <w:fldChar w:fldCharType="separate"/>
      </w:r>
      <w:r>
        <w:rPr>
          <w:noProof/>
        </w:rPr>
        <w:t>16</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Summary:</w:t>
      </w:r>
      <w:r>
        <w:rPr>
          <w:noProof/>
        </w:rPr>
        <w:tab/>
      </w:r>
      <w:r>
        <w:rPr>
          <w:noProof/>
        </w:rPr>
        <w:fldChar w:fldCharType="begin"/>
      </w:r>
      <w:r>
        <w:rPr>
          <w:noProof/>
        </w:rPr>
        <w:instrText xml:space="preserve"> PAGEREF _Toc48134801 \h </w:instrText>
      </w:r>
      <w:r>
        <w:rPr>
          <w:noProof/>
        </w:rPr>
      </w:r>
      <w:r>
        <w:rPr>
          <w:noProof/>
        </w:rPr>
        <w:fldChar w:fldCharType="separate"/>
      </w:r>
      <w:r>
        <w:rPr>
          <w:noProof/>
        </w:rPr>
        <w:t>16</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Life Expectancy</w:t>
      </w:r>
      <w:r>
        <w:rPr>
          <w:noProof/>
        </w:rPr>
        <w:tab/>
      </w:r>
      <w:r>
        <w:rPr>
          <w:noProof/>
        </w:rPr>
        <w:fldChar w:fldCharType="begin"/>
      </w:r>
      <w:r>
        <w:rPr>
          <w:noProof/>
        </w:rPr>
        <w:instrText xml:space="preserve"> PAGEREF _Toc48134802 \h </w:instrText>
      </w:r>
      <w:r>
        <w:rPr>
          <w:noProof/>
        </w:rPr>
      </w:r>
      <w:r>
        <w:rPr>
          <w:noProof/>
        </w:rPr>
        <w:fldChar w:fldCharType="separate"/>
      </w:r>
      <w:r>
        <w:rPr>
          <w:noProof/>
        </w:rPr>
        <w:t>16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10: Average life expectancy in men and women over time.</w:t>
      </w:r>
      <w:r>
        <w:rPr>
          <w:noProof/>
        </w:rPr>
        <w:tab/>
      </w:r>
      <w:r>
        <w:rPr>
          <w:noProof/>
        </w:rPr>
        <w:fldChar w:fldCharType="begin"/>
      </w:r>
      <w:r>
        <w:rPr>
          <w:noProof/>
        </w:rPr>
        <w:instrText xml:space="preserve"> PAGEREF _Toc48134803 \h </w:instrText>
      </w:r>
      <w:r>
        <w:rPr>
          <w:noProof/>
        </w:rPr>
      </w:r>
      <w:r>
        <w:rPr>
          <w:noProof/>
        </w:rPr>
        <w:fldChar w:fldCharType="separate"/>
      </w:r>
      <w:r>
        <w:rPr>
          <w:noProof/>
        </w:rPr>
        <w:t>16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5: Average life expectancy in years for the latest time periods (2014-2018 aggregated years for the locality; 2016-2018 aggregated years for other areas).</w:t>
      </w:r>
      <w:r>
        <w:rPr>
          <w:noProof/>
        </w:rPr>
        <w:tab/>
      </w:r>
      <w:r>
        <w:rPr>
          <w:noProof/>
        </w:rPr>
        <w:fldChar w:fldCharType="begin"/>
      </w:r>
      <w:r>
        <w:rPr>
          <w:noProof/>
        </w:rPr>
        <w:instrText xml:space="preserve"> PAGEREF _Toc48134804 \h </w:instrText>
      </w:r>
      <w:r>
        <w:rPr>
          <w:noProof/>
        </w:rPr>
      </w:r>
      <w:r>
        <w:rPr>
          <w:noProof/>
        </w:rPr>
        <w:fldChar w:fldCharType="separate"/>
      </w:r>
      <w:r>
        <w:rPr>
          <w:noProof/>
        </w:rPr>
        <w:t>17</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Deaths, aged 15-44</w:t>
      </w:r>
      <w:r>
        <w:rPr>
          <w:noProof/>
        </w:rPr>
        <w:tab/>
      </w:r>
      <w:r>
        <w:rPr>
          <w:noProof/>
        </w:rPr>
        <w:fldChar w:fldCharType="begin"/>
      </w:r>
      <w:r>
        <w:rPr>
          <w:noProof/>
        </w:rPr>
        <w:instrText xml:space="preserve"> PAGEREF _Toc48134805 \h </w:instrText>
      </w:r>
      <w:r>
        <w:rPr>
          <w:noProof/>
        </w:rPr>
      </w:r>
      <w:r>
        <w:rPr>
          <w:noProof/>
        </w:rPr>
        <w:fldChar w:fldCharType="separate"/>
      </w:r>
      <w:r>
        <w:rPr>
          <w:noProof/>
        </w:rPr>
        <w:t>18</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11: Deaths aged 15-44 years by geographical area and over time.</w:t>
      </w:r>
      <w:r>
        <w:rPr>
          <w:noProof/>
        </w:rPr>
        <w:tab/>
      </w:r>
      <w:r>
        <w:rPr>
          <w:noProof/>
        </w:rPr>
        <w:fldChar w:fldCharType="begin"/>
      </w:r>
      <w:r>
        <w:rPr>
          <w:noProof/>
        </w:rPr>
        <w:instrText xml:space="preserve"> PAGEREF _Toc48134806 \h </w:instrText>
      </w:r>
      <w:r>
        <w:rPr>
          <w:noProof/>
        </w:rPr>
      </w:r>
      <w:r>
        <w:rPr>
          <w:noProof/>
        </w:rPr>
        <w:fldChar w:fldCharType="separate"/>
      </w:r>
      <w:r>
        <w:rPr>
          <w:noProof/>
        </w:rPr>
        <w:t>18</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12: Deaths at ages 15-44 in East Ayrshire HSCP localities.</w:t>
      </w:r>
      <w:r>
        <w:rPr>
          <w:noProof/>
        </w:rPr>
        <w:tab/>
      </w:r>
      <w:r>
        <w:rPr>
          <w:noProof/>
        </w:rPr>
        <w:fldChar w:fldCharType="begin"/>
      </w:r>
      <w:r>
        <w:rPr>
          <w:noProof/>
        </w:rPr>
        <w:instrText xml:space="preserve"> PAGEREF _Toc48134807 \h </w:instrText>
      </w:r>
      <w:r>
        <w:rPr>
          <w:noProof/>
        </w:rPr>
      </w:r>
      <w:r>
        <w:rPr>
          <w:noProof/>
        </w:rPr>
        <w:fldChar w:fldCharType="separate"/>
      </w:r>
      <w:r>
        <w:rPr>
          <w:noProof/>
        </w:rPr>
        <w:t>18</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Long-Term Physical Health Conditions and Multimorbidity</w:t>
      </w:r>
      <w:r>
        <w:rPr>
          <w:noProof/>
        </w:rPr>
        <w:tab/>
      </w:r>
      <w:r>
        <w:rPr>
          <w:noProof/>
        </w:rPr>
        <w:fldChar w:fldCharType="begin"/>
      </w:r>
      <w:r>
        <w:rPr>
          <w:noProof/>
        </w:rPr>
        <w:instrText xml:space="preserve"> PAGEREF _Toc48134808 \h </w:instrText>
      </w:r>
      <w:r>
        <w:rPr>
          <w:noProof/>
        </w:rPr>
      </w:r>
      <w:r>
        <w:rPr>
          <w:noProof/>
        </w:rPr>
        <w:fldChar w:fldCharType="separate"/>
      </w:r>
      <w:r>
        <w:rPr>
          <w:noProof/>
        </w:rPr>
        <w:t>19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13: Multimorbidity of physical long-term conditions by age group in 2018/19.</w:t>
      </w:r>
      <w:r>
        <w:rPr>
          <w:noProof/>
        </w:rPr>
        <w:tab/>
      </w:r>
      <w:r>
        <w:rPr>
          <w:noProof/>
        </w:rPr>
        <w:fldChar w:fldCharType="begin"/>
      </w:r>
      <w:r>
        <w:rPr>
          <w:noProof/>
        </w:rPr>
        <w:instrText xml:space="preserve"> PAGEREF _Toc48134809 \h </w:instrText>
      </w:r>
      <w:r>
        <w:rPr>
          <w:noProof/>
        </w:rPr>
      </w:r>
      <w:r>
        <w:rPr>
          <w:noProof/>
        </w:rPr>
        <w:fldChar w:fldCharType="separate"/>
      </w:r>
      <w:r>
        <w:rPr>
          <w:noProof/>
        </w:rPr>
        <w:t>19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14: Percentage people with each physical LTC, split by age group.</w:t>
      </w:r>
      <w:r>
        <w:rPr>
          <w:noProof/>
        </w:rPr>
        <w:tab/>
      </w:r>
      <w:r>
        <w:rPr>
          <w:noProof/>
        </w:rPr>
        <w:fldChar w:fldCharType="begin"/>
      </w:r>
      <w:r>
        <w:rPr>
          <w:noProof/>
        </w:rPr>
        <w:instrText xml:space="preserve"> PAGEREF _Toc48134810 \h </w:instrText>
      </w:r>
      <w:r>
        <w:rPr>
          <w:noProof/>
        </w:rPr>
      </w:r>
      <w:r>
        <w:rPr>
          <w:noProof/>
        </w:rPr>
        <w:fldChar w:fldCharType="separate"/>
      </w:r>
      <w:r>
        <w:rPr>
          <w:noProof/>
        </w:rPr>
        <w:t>20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Table 6: Prevalence of the five most common physical LTCs as a percentage of the population across geographical areas (where 1 = most prevalent).</w:t>
      </w:r>
      <w:r>
        <w:rPr>
          <w:noProof/>
        </w:rPr>
        <w:tab/>
      </w:r>
      <w:r>
        <w:rPr>
          <w:noProof/>
        </w:rPr>
        <w:fldChar w:fldCharType="begin"/>
      </w:r>
      <w:r>
        <w:rPr>
          <w:noProof/>
        </w:rPr>
        <w:instrText xml:space="preserve"> PAGEREF _Toc48134811 \h </w:instrText>
      </w:r>
      <w:r>
        <w:rPr>
          <w:noProof/>
        </w:rPr>
      </w:r>
      <w:r>
        <w:rPr>
          <w:noProof/>
        </w:rPr>
        <w:fldChar w:fldCharType="separate"/>
      </w:r>
      <w:r>
        <w:rPr>
          <w:noProof/>
        </w:rPr>
        <w:t>20</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lastRenderedPageBreak/>
        <w:t>Cancer Registrations</w:t>
      </w:r>
      <w:r>
        <w:rPr>
          <w:noProof/>
        </w:rPr>
        <w:tab/>
      </w:r>
      <w:r>
        <w:rPr>
          <w:noProof/>
        </w:rPr>
        <w:fldChar w:fldCharType="begin"/>
      </w:r>
      <w:r>
        <w:rPr>
          <w:noProof/>
        </w:rPr>
        <w:instrText xml:space="preserve"> PAGEREF _Toc48134812 \h </w:instrText>
      </w:r>
      <w:r>
        <w:rPr>
          <w:noProof/>
        </w:rPr>
      </w:r>
      <w:r>
        <w:rPr>
          <w:noProof/>
        </w:rPr>
        <w:fldChar w:fldCharType="separate"/>
      </w:r>
      <w:r>
        <w:rPr>
          <w:noProof/>
        </w:rPr>
        <w:t>21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15: Cancer registration rate over time and by geographical area.</w:t>
      </w:r>
      <w:r>
        <w:rPr>
          <w:noProof/>
        </w:rPr>
        <w:tab/>
      </w:r>
      <w:r>
        <w:rPr>
          <w:noProof/>
        </w:rPr>
        <w:fldChar w:fldCharType="begin"/>
      </w:r>
      <w:r>
        <w:rPr>
          <w:noProof/>
        </w:rPr>
        <w:instrText xml:space="preserve"> PAGEREF _Toc48134813 \h </w:instrText>
      </w:r>
      <w:r>
        <w:rPr>
          <w:noProof/>
        </w:rPr>
      </w:r>
      <w:r>
        <w:rPr>
          <w:noProof/>
        </w:rPr>
        <w:fldChar w:fldCharType="separate"/>
      </w:r>
      <w:r>
        <w:rPr>
          <w:noProof/>
        </w:rPr>
        <w:t>21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16: Cancer registration rates in East Ayrshire HSCP localities.</w:t>
      </w:r>
      <w:r>
        <w:rPr>
          <w:noProof/>
        </w:rPr>
        <w:tab/>
      </w:r>
      <w:r>
        <w:rPr>
          <w:noProof/>
        </w:rPr>
        <w:fldChar w:fldCharType="begin"/>
      </w:r>
      <w:r>
        <w:rPr>
          <w:noProof/>
        </w:rPr>
        <w:instrText xml:space="preserve"> PAGEREF _Toc48134814 \h </w:instrText>
      </w:r>
      <w:r>
        <w:rPr>
          <w:noProof/>
        </w:rPr>
      </w:r>
      <w:r>
        <w:rPr>
          <w:noProof/>
        </w:rPr>
        <w:fldChar w:fldCharType="separate"/>
      </w:r>
      <w:r>
        <w:rPr>
          <w:noProof/>
        </w:rPr>
        <w:t>21</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Anxiety, Depression, and Psychosis Prescriptions</w:t>
      </w:r>
      <w:r>
        <w:rPr>
          <w:noProof/>
        </w:rPr>
        <w:tab/>
      </w:r>
      <w:r>
        <w:rPr>
          <w:noProof/>
        </w:rPr>
        <w:fldChar w:fldCharType="begin"/>
      </w:r>
      <w:r>
        <w:rPr>
          <w:noProof/>
        </w:rPr>
        <w:instrText xml:space="preserve"> PAGEREF _Toc48134815 \h </w:instrText>
      </w:r>
      <w:r>
        <w:rPr>
          <w:noProof/>
        </w:rPr>
      </w:r>
      <w:r>
        <w:rPr>
          <w:noProof/>
        </w:rPr>
        <w:fldChar w:fldCharType="separate"/>
      </w:r>
      <w:r>
        <w:rPr>
          <w:noProof/>
        </w:rPr>
        <w:t>22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17: Percentage population prescribed ADP medication in East Ayrshire HSCP localities.</w:t>
      </w:r>
      <w:r>
        <w:rPr>
          <w:noProof/>
        </w:rPr>
        <w:tab/>
      </w:r>
      <w:r>
        <w:rPr>
          <w:noProof/>
        </w:rPr>
        <w:fldChar w:fldCharType="begin"/>
      </w:r>
      <w:r>
        <w:rPr>
          <w:noProof/>
        </w:rPr>
        <w:instrText xml:space="preserve"> PAGEREF _Toc48134816 \h </w:instrText>
      </w:r>
      <w:r>
        <w:rPr>
          <w:noProof/>
        </w:rPr>
      </w:r>
      <w:r>
        <w:rPr>
          <w:noProof/>
        </w:rPr>
        <w:fldChar w:fldCharType="separate"/>
      </w:r>
      <w:r>
        <w:rPr>
          <w:noProof/>
        </w:rPr>
        <w:t>22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18: ADP prescriptions over time and by geographical area.</w:t>
      </w:r>
      <w:r>
        <w:rPr>
          <w:noProof/>
        </w:rPr>
        <w:tab/>
      </w:r>
      <w:r>
        <w:rPr>
          <w:noProof/>
        </w:rPr>
        <w:fldChar w:fldCharType="begin"/>
      </w:r>
      <w:r>
        <w:rPr>
          <w:noProof/>
        </w:rPr>
        <w:instrText xml:space="preserve"> PAGEREF _Toc48134817 \h </w:instrText>
      </w:r>
      <w:r>
        <w:rPr>
          <w:noProof/>
        </w:rPr>
      </w:r>
      <w:r>
        <w:rPr>
          <w:noProof/>
        </w:rPr>
        <w:fldChar w:fldCharType="separate"/>
      </w:r>
      <w:r>
        <w:rPr>
          <w:noProof/>
        </w:rPr>
        <w:t>22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Lifestyle and Risk Factors</w:t>
      </w:r>
      <w:r>
        <w:rPr>
          <w:noProof/>
        </w:rPr>
        <w:tab/>
      </w:r>
      <w:r>
        <w:rPr>
          <w:noProof/>
        </w:rPr>
        <w:fldChar w:fldCharType="begin"/>
      </w:r>
      <w:r>
        <w:rPr>
          <w:noProof/>
        </w:rPr>
        <w:instrText xml:space="preserve"> PAGEREF _Toc48134818 \h </w:instrText>
      </w:r>
      <w:r>
        <w:rPr>
          <w:noProof/>
        </w:rPr>
      </w:r>
      <w:r>
        <w:rPr>
          <w:noProof/>
        </w:rPr>
        <w:fldChar w:fldCharType="separate"/>
      </w:r>
      <w:r>
        <w:rPr>
          <w:noProof/>
        </w:rPr>
        <w:t>23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Summary:</w:t>
      </w:r>
      <w:r>
        <w:rPr>
          <w:noProof/>
        </w:rPr>
        <w:tab/>
      </w:r>
      <w:r>
        <w:rPr>
          <w:noProof/>
        </w:rPr>
        <w:fldChar w:fldCharType="begin"/>
      </w:r>
      <w:r>
        <w:rPr>
          <w:noProof/>
        </w:rPr>
        <w:instrText xml:space="preserve"> PAGEREF _Toc48134819 \h </w:instrText>
      </w:r>
      <w:r>
        <w:rPr>
          <w:noProof/>
        </w:rPr>
      </w:r>
      <w:r>
        <w:rPr>
          <w:noProof/>
        </w:rPr>
        <w:fldChar w:fldCharType="separate"/>
      </w:r>
      <w:r>
        <w:rPr>
          <w:noProof/>
        </w:rPr>
        <w:t>23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Drug-related Hospital Admissions</w:t>
      </w:r>
      <w:r>
        <w:rPr>
          <w:noProof/>
        </w:rPr>
        <w:tab/>
      </w:r>
      <w:r>
        <w:rPr>
          <w:noProof/>
        </w:rPr>
        <w:fldChar w:fldCharType="begin"/>
      </w:r>
      <w:r>
        <w:rPr>
          <w:noProof/>
        </w:rPr>
        <w:instrText xml:space="preserve"> PAGEREF _Toc48134820 \h </w:instrText>
      </w:r>
      <w:r>
        <w:rPr>
          <w:noProof/>
        </w:rPr>
      </w:r>
      <w:r>
        <w:rPr>
          <w:noProof/>
        </w:rPr>
        <w:fldChar w:fldCharType="separate"/>
      </w:r>
      <w:r>
        <w:rPr>
          <w:noProof/>
        </w:rPr>
        <w:t>23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19: Trend of Drug-related Hospital Admission Rates by geographical area.</w:t>
      </w:r>
      <w:r>
        <w:rPr>
          <w:noProof/>
        </w:rPr>
        <w:tab/>
      </w:r>
      <w:r>
        <w:rPr>
          <w:noProof/>
        </w:rPr>
        <w:fldChar w:fldCharType="begin"/>
      </w:r>
      <w:r>
        <w:rPr>
          <w:noProof/>
        </w:rPr>
        <w:instrText xml:space="preserve"> PAGEREF _Toc48134821 \h </w:instrText>
      </w:r>
      <w:r>
        <w:rPr>
          <w:noProof/>
        </w:rPr>
      </w:r>
      <w:r>
        <w:rPr>
          <w:noProof/>
        </w:rPr>
        <w:fldChar w:fldCharType="separate"/>
      </w:r>
      <w:r>
        <w:rPr>
          <w:noProof/>
        </w:rPr>
        <w:t>23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20: Comparison of Drug-related Hospital Admission Rates for the period 2015/16 - 2017/18.</w:t>
      </w:r>
      <w:r>
        <w:rPr>
          <w:noProof/>
        </w:rPr>
        <w:tab/>
      </w:r>
      <w:r>
        <w:rPr>
          <w:noProof/>
        </w:rPr>
        <w:fldChar w:fldCharType="begin"/>
      </w:r>
      <w:r>
        <w:rPr>
          <w:noProof/>
        </w:rPr>
        <w:instrText xml:space="preserve"> PAGEREF _Toc48134822 \h </w:instrText>
      </w:r>
      <w:r>
        <w:rPr>
          <w:noProof/>
        </w:rPr>
      </w:r>
      <w:r>
        <w:rPr>
          <w:noProof/>
        </w:rPr>
        <w:fldChar w:fldCharType="separate"/>
      </w:r>
      <w:r>
        <w:rPr>
          <w:noProof/>
        </w:rPr>
        <w:t>24</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Alcohol-related Hospital Admissions</w:t>
      </w:r>
      <w:r>
        <w:rPr>
          <w:noProof/>
        </w:rPr>
        <w:tab/>
      </w:r>
      <w:r>
        <w:rPr>
          <w:noProof/>
        </w:rPr>
        <w:fldChar w:fldCharType="begin"/>
      </w:r>
      <w:r>
        <w:rPr>
          <w:noProof/>
        </w:rPr>
        <w:instrText xml:space="preserve"> PAGEREF _Toc48134823 \h </w:instrText>
      </w:r>
      <w:r>
        <w:rPr>
          <w:noProof/>
        </w:rPr>
      </w:r>
      <w:r>
        <w:rPr>
          <w:noProof/>
        </w:rPr>
        <w:fldChar w:fldCharType="separate"/>
      </w:r>
      <w:r>
        <w:rPr>
          <w:noProof/>
        </w:rPr>
        <w:t>25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21: Trend of Alcohol-related Hospital Admission Rates by geographical area.</w:t>
      </w:r>
      <w:r>
        <w:rPr>
          <w:noProof/>
        </w:rPr>
        <w:tab/>
      </w:r>
      <w:r>
        <w:rPr>
          <w:noProof/>
        </w:rPr>
        <w:fldChar w:fldCharType="begin"/>
      </w:r>
      <w:r>
        <w:rPr>
          <w:noProof/>
        </w:rPr>
        <w:instrText xml:space="preserve"> PAGEREF _Toc48134824 \h </w:instrText>
      </w:r>
      <w:r>
        <w:rPr>
          <w:noProof/>
        </w:rPr>
      </w:r>
      <w:r>
        <w:rPr>
          <w:noProof/>
        </w:rPr>
        <w:fldChar w:fldCharType="separate"/>
      </w:r>
      <w:r>
        <w:rPr>
          <w:noProof/>
        </w:rPr>
        <w:t>25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22: Comparison of Alcohol-related Hospital Admission Rates for 2018/19.</w:t>
      </w:r>
      <w:r>
        <w:rPr>
          <w:noProof/>
        </w:rPr>
        <w:tab/>
      </w:r>
      <w:r>
        <w:rPr>
          <w:noProof/>
        </w:rPr>
        <w:fldChar w:fldCharType="begin"/>
      </w:r>
      <w:r>
        <w:rPr>
          <w:noProof/>
        </w:rPr>
        <w:instrText xml:space="preserve"> PAGEREF _Toc48134825 \h </w:instrText>
      </w:r>
      <w:r>
        <w:rPr>
          <w:noProof/>
        </w:rPr>
      </w:r>
      <w:r>
        <w:rPr>
          <w:noProof/>
        </w:rPr>
        <w:fldChar w:fldCharType="separate"/>
      </w:r>
      <w:r>
        <w:rPr>
          <w:noProof/>
        </w:rPr>
        <w:t>25</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Alcohol-Specific Deaths</w:t>
      </w:r>
      <w:r>
        <w:rPr>
          <w:noProof/>
        </w:rPr>
        <w:tab/>
      </w:r>
      <w:r>
        <w:rPr>
          <w:noProof/>
        </w:rPr>
        <w:fldChar w:fldCharType="begin"/>
      </w:r>
      <w:r>
        <w:rPr>
          <w:noProof/>
        </w:rPr>
        <w:instrText xml:space="preserve"> PAGEREF _Toc48134826 \h </w:instrText>
      </w:r>
      <w:r>
        <w:rPr>
          <w:noProof/>
        </w:rPr>
      </w:r>
      <w:r>
        <w:rPr>
          <w:noProof/>
        </w:rPr>
        <w:fldChar w:fldCharType="separate"/>
      </w:r>
      <w:r>
        <w:rPr>
          <w:noProof/>
        </w:rPr>
        <w:t>26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23: Trend of Alcohol-Specific Death Rates by geographical area.</w:t>
      </w:r>
      <w:r>
        <w:rPr>
          <w:noProof/>
        </w:rPr>
        <w:tab/>
      </w:r>
      <w:r>
        <w:rPr>
          <w:noProof/>
        </w:rPr>
        <w:fldChar w:fldCharType="begin"/>
      </w:r>
      <w:r>
        <w:rPr>
          <w:noProof/>
        </w:rPr>
        <w:instrText xml:space="preserve"> PAGEREF _Toc48134827 \h </w:instrText>
      </w:r>
      <w:r>
        <w:rPr>
          <w:noProof/>
        </w:rPr>
      </w:r>
      <w:r>
        <w:rPr>
          <w:noProof/>
        </w:rPr>
        <w:fldChar w:fldCharType="separate"/>
      </w:r>
      <w:r>
        <w:rPr>
          <w:noProof/>
        </w:rPr>
        <w:t>26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24: Comparison of Alcohol-related Death Rates for the period 2014 - 2018 (5 year aggregate).</w:t>
      </w:r>
      <w:r>
        <w:rPr>
          <w:noProof/>
        </w:rPr>
        <w:tab/>
      </w:r>
      <w:r>
        <w:rPr>
          <w:noProof/>
        </w:rPr>
        <w:fldChar w:fldCharType="begin"/>
      </w:r>
      <w:r>
        <w:rPr>
          <w:noProof/>
        </w:rPr>
        <w:instrText xml:space="preserve"> PAGEREF _Toc48134828 \h </w:instrText>
      </w:r>
      <w:r>
        <w:rPr>
          <w:noProof/>
        </w:rPr>
      </w:r>
      <w:r>
        <w:rPr>
          <w:noProof/>
        </w:rPr>
        <w:fldChar w:fldCharType="separate"/>
      </w:r>
      <w:r>
        <w:rPr>
          <w:noProof/>
        </w:rPr>
        <w:t>26</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Bowel Screening Uptake</w:t>
      </w:r>
      <w:r>
        <w:rPr>
          <w:noProof/>
        </w:rPr>
        <w:tab/>
      </w:r>
      <w:r>
        <w:rPr>
          <w:noProof/>
        </w:rPr>
        <w:fldChar w:fldCharType="begin"/>
      </w:r>
      <w:r>
        <w:rPr>
          <w:noProof/>
        </w:rPr>
        <w:instrText xml:space="preserve"> PAGEREF _Toc48134829 \h </w:instrText>
      </w:r>
      <w:r>
        <w:rPr>
          <w:noProof/>
        </w:rPr>
      </w:r>
      <w:r>
        <w:rPr>
          <w:noProof/>
        </w:rPr>
        <w:fldChar w:fldCharType="separate"/>
      </w:r>
      <w:r>
        <w:rPr>
          <w:noProof/>
        </w:rPr>
        <w:t>27</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25: Trend of Bowel Screening Uptake for eligible men and women, by geographical area.</w:t>
      </w:r>
      <w:r>
        <w:rPr>
          <w:noProof/>
        </w:rPr>
        <w:tab/>
      </w:r>
      <w:r>
        <w:rPr>
          <w:noProof/>
        </w:rPr>
        <w:fldChar w:fldCharType="begin"/>
      </w:r>
      <w:r>
        <w:rPr>
          <w:noProof/>
        </w:rPr>
        <w:instrText xml:space="preserve"> PAGEREF _Toc48134830 \h </w:instrText>
      </w:r>
      <w:r>
        <w:rPr>
          <w:noProof/>
        </w:rPr>
      </w:r>
      <w:r>
        <w:rPr>
          <w:noProof/>
        </w:rPr>
        <w:fldChar w:fldCharType="separate"/>
      </w:r>
      <w:r>
        <w:rPr>
          <w:noProof/>
        </w:rPr>
        <w:t>27</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26: Comparison of Bowel Screening Uptake for 2016 - 2018.</w:t>
      </w:r>
      <w:r>
        <w:rPr>
          <w:noProof/>
        </w:rPr>
        <w:tab/>
      </w:r>
      <w:r>
        <w:rPr>
          <w:noProof/>
        </w:rPr>
        <w:fldChar w:fldCharType="begin"/>
      </w:r>
      <w:r>
        <w:rPr>
          <w:noProof/>
        </w:rPr>
        <w:instrText xml:space="preserve"> PAGEREF _Toc48134831 \h </w:instrText>
      </w:r>
      <w:r>
        <w:rPr>
          <w:noProof/>
        </w:rPr>
      </w:r>
      <w:r>
        <w:rPr>
          <w:noProof/>
        </w:rPr>
        <w:fldChar w:fldCharType="separate"/>
      </w:r>
      <w:r>
        <w:rPr>
          <w:noProof/>
        </w:rPr>
        <w:t>28</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Unscheduled Care</w:t>
      </w:r>
      <w:r>
        <w:rPr>
          <w:noProof/>
        </w:rPr>
        <w:tab/>
      </w:r>
      <w:r>
        <w:rPr>
          <w:noProof/>
        </w:rPr>
        <w:fldChar w:fldCharType="begin"/>
      </w:r>
      <w:r>
        <w:rPr>
          <w:noProof/>
        </w:rPr>
        <w:instrText xml:space="preserve"> PAGEREF _Toc48134832 \h </w:instrText>
      </w:r>
      <w:r>
        <w:rPr>
          <w:noProof/>
        </w:rPr>
      </w:r>
      <w:r>
        <w:rPr>
          <w:noProof/>
        </w:rPr>
        <w:fldChar w:fldCharType="separate"/>
      </w:r>
      <w:r>
        <w:rPr>
          <w:noProof/>
        </w:rPr>
        <w:t>29</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Emergency Admissions</w:t>
      </w:r>
      <w:r>
        <w:rPr>
          <w:noProof/>
        </w:rPr>
        <w:tab/>
      </w:r>
      <w:r>
        <w:rPr>
          <w:noProof/>
        </w:rPr>
        <w:fldChar w:fldCharType="begin"/>
      </w:r>
      <w:r>
        <w:rPr>
          <w:noProof/>
        </w:rPr>
        <w:instrText xml:space="preserve"> PAGEREF _Toc48134833 \h </w:instrText>
      </w:r>
      <w:r>
        <w:rPr>
          <w:noProof/>
        </w:rPr>
      </w:r>
      <w:r>
        <w:rPr>
          <w:noProof/>
        </w:rPr>
        <w:fldChar w:fldCharType="separate"/>
      </w:r>
      <w:r>
        <w:rPr>
          <w:noProof/>
        </w:rPr>
        <w:t>30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27: Emergency admissions by age group</w:t>
      </w:r>
      <w:r>
        <w:rPr>
          <w:noProof/>
        </w:rPr>
        <w:tab/>
      </w:r>
      <w:r>
        <w:rPr>
          <w:noProof/>
        </w:rPr>
        <w:fldChar w:fldCharType="begin"/>
      </w:r>
      <w:r>
        <w:rPr>
          <w:noProof/>
        </w:rPr>
        <w:instrText xml:space="preserve"> PAGEREF _Toc48134834 \h </w:instrText>
      </w:r>
      <w:r>
        <w:rPr>
          <w:noProof/>
        </w:rPr>
      </w:r>
      <w:r>
        <w:rPr>
          <w:noProof/>
        </w:rPr>
        <w:fldChar w:fldCharType="separate"/>
      </w:r>
      <w:r>
        <w:rPr>
          <w:noProof/>
        </w:rPr>
        <w:t>30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28: Emergency admissions by geographical area</w:t>
      </w:r>
      <w:r>
        <w:rPr>
          <w:noProof/>
        </w:rPr>
        <w:tab/>
      </w:r>
      <w:r>
        <w:rPr>
          <w:noProof/>
        </w:rPr>
        <w:fldChar w:fldCharType="begin"/>
      </w:r>
      <w:r>
        <w:rPr>
          <w:noProof/>
        </w:rPr>
        <w:instrText xml:space="preserve"> PAGEREF _Toc48134835 \h </w:instrText>
      </w:r>
      <w:r>
        <w:rPr>
          <w:noProof/>
        </w:rPr>
      </w:r>
      <w:r>
        <w:rPr>
          <w:noProof/>
        </w:rPr>
        <w:fldChar w:fldCharType="separate"/>
      </w:r>
      <w:r>
        <w:rPr>
          <w:noProof/>
        </w:rPr>
        <w:t>30</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Unscheduled Bed Days</w:t>
      </w:r>
      <w:r>
        <w:rPr>
          <w:noProof/>
        </w:rPr>
        <w:tab/>
      </w:r>
      <w:r>
        <w:rPr>
          <w:noProof/>
        </w:rPr>
        <w:fldChar w:fldCharType="begin"/>
      </w:r>
      <w:r>
        <w:rPr>
          <w:noProof/>
        </w:rPr>
        <w:instrText xml:space="preserve"> PAGEREF _Toc48134836 \h </w:instrText>
      </w:r>
      <w:r>
        <w:rPr>
          <w:noProof/>
        </w:rPr>
      </w:r>
      <w:r>
        <w:rPr>
          <w:noProof/>
        </w:rPr>
        <w:fldChar w:fldCharType="separate"/>
      </w:r>
      <w:r>
        <w:rPr>
          <w:noProof/>
        </w:rPr>
        <w:t>31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29: Unscheduled bed days by age group</w:t>
      </w:r>
      <w:r>
        <w:rPr>
          <w:noProof/>
        </w:rPr>
        <w:tab/>
      </w:r>
      <w:r>
        <w:rPr>
          <w:noProof/>
        </w:rPr>
        <w:fldChar w:fldCharType="begin"/>
      </w:r>
      <w:r>
        <w:rPr>
          <w:noProof/>
        </w:rPr>
        <w:instrText xml:space="preserve"> PAGEREF _Toc48134837 \h </w:instrText>
      </w:r>
      <w:r>
        <w:rPr>
          <w:noProof/>
        </w:rPr>
      </w:r>
      <w:r>
        <w:rPr>
          <w:noProof/>
        </w:rPr>
        <w:fldChar w:fldCharType="separate"/>
      </w:r>
      <w:r>
        <w:rPr>
          <w:noProof/>
        </w:rPr>
        <w:t>31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30: Unscheduled bed days by geographical area</w:t>
      </w:r>
      <w:r>
        <w:rPr>
          <w:noProof/>
        </w:rPr>
        <w:tab/>
      </w:r>
      <w:r>
        <w:rPr>
          <w:noProof/>
        </w:rPr>
        <w:fldChar w:fldCharType="begin"/>
      </w:r>
      <w:r>
        <w:rPr>
          <w:noProof/>
        </w:rPr>
        <w:instrText xml:space="preserve"> PAGEREF _Toc48134838 \h </w:instrText>
      </w:r>
      <w:r>
        <w:rPr>
          <w:noProof/>
        </w:rPr>
      </w:r>
      <w:r>
        <w:rPr>
          <w:noProof/>
        </w:rPr>
        <w:fldChar w:fldCharType="separate"/>
      </w:r>
      <w:r>
        <w:rPr>
          <w:noProof/>
        </w:rPr>
        <w:t>31</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A&amp;E Attendances</w:t>
      </w:r>
      <w:r>
        <w:rPr>
          <w:noProof/>
        </w:rPr>
        <w:tab/>
      </w:r>
      <w:r>
        <w:rPr>
          <w:noProof/>
        </w:rPr>
        <w:fldChar w:fldCharType="begin"/>
      </w:r>
      <w:r>
        <w:rPr>
          <w:noProof/>
        </w:rPr>
        <w:instrText xml:space="preserve"> PAGEREF _Toc48134839 \h </w:instrText>
      </w:r>
      <w:r>
        <w:rPr>
          <w:noProof/>
        </w:rPr>
      </w:r>
      <w:r>
        <w:rPr>
          <w:noProof/>
        </w:rPr>
        <w:fldChar w:fldCharType="separate"/>
      </w:r>
      <w:r>
        <w:rPr>
          <w:noProof/>
        </w:rPr>
        <w:t>32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31: A&amp;E attendances by age group</w:t>
      </w:r>
      <w:r>
        <w:rPr>
          <w:noProof/>
        </w:rPr>
        <w:tab/>
      </w:r>
      <w:r>
        <w:rPr>
          <w:noProof/>
        </w:rPr>
        <w:fldChar w:fldCharType="begin"/>
      </w:r>
      <w:r>
        <w:rPr>
          <w:noProof/>
        </w:rPr>
        <w:instrText xml:space="preserve"> PAGEREF _Toc48134840 \h </w:instrText>
      </w:r>
      <w:r>
        <w:rPr>
          <w:noProof/>
        </w:rPr>
      </w:r>
      <w:r>
        <w:rPr>
          <w:noProof/>
        </w:rPr>
        <w:fldChar w:fldCharType="separate"/>
      </w:r>
      <w:r>
        <w:rPr>
          <w:noProof/>
        </w:rPr>
        <w:t>32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32: A&amp;E attendances by geographical area</w:t>
      </w:r>
      <w:r>
        <w:rPr>
          <w:noProof/>
        </w:rPr>
        <w:tab/>
      </w:r>
      <w:r>
        <w:rPr>
          <w:noProof/>
        </w:rPr>
        <w:fldChar w:fldCharType="begin"/>
      </w:r>
      <w:r>
        <w:rPr>
          <w:noProof/>
        </w:rPr>
        <w:instrText xml:space="preserve"> PAGEREF _Toc48134841 \h </w:instrText>
      </w:r>
      <w:r>
        <w:rPr>
          <w:noProof/>
        </w:rPr>
      </w:r>
      <w:r>
        <w:rPr>
          <w:noProof/>
        </w:rPr>
        <w:fldChar w:fldCharType="separate"/>
      </w:r>
      <w:r>
        <w:rPr>
          <w:noProof/>
        </w:rPr>
        <w:t>32</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Delayed Discharges</w:t>
      </w:r>
      <w:r>
        <w:rPr>
          <w:noProof/>
        </w:rPr>
        <w:tab/>
      </w:r>
      <w:r>
        <w:rPr>
          <w:noProof/>
        </w:rPr>
        <w:fldChar w:fldCharType="begin"/>
      </w:r>
      <w:r>
        <w:rPr>
          <w:noProof/>
        </w:rPr>
        <w:instrText xml:space="preserve"> PAGEREF _Toc48134842 \h </w:instrText>
      </w:r>
      <w:r>
        <w:rPr>
          <w:noProof/>
        </w:rPr>
      </w:r>
      <w:r>
        <w:rPr>
          <w:noProof/>
        </w:rPr>
        <w:fldChar w:fldCharType="separate"/>
      </w:r>
      <w:r>
        <w:rPr>
          <w:noProof/>
        </w:rPr>
        <w:t>33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33: Delayed discharges by age group</w:t>
      </w:r>
      <w:r>
        <w:rPr>
          <w:noProof/>
        </w:rPr>
        <w:tab/>
      </w:r>
      <w:r>
        <w:rPr>
          <w:noProof/>
        </w:rPr>
        <w:fldChar w:fldCharType="begin"/>
      </w:r>
      <w:r>
        <w:rPr>
          <w:noProof/>
        </w:rPr>
        <w:instrText xml:space="preserve"> PAGEREF _Toc48134843 \h </w:instrText>
      </w:r>
      <w:r>
        <w:rPr>
          <w:noProof/>
        </w:rPr>
      </w:r>
      <w:r>
        <w:rPr>
          <w:noProof/>
        </w:rPr>
        <w:fldChar w:fldCharType="separate"/>
      </w:r>
      <w:r>
        <w:rPr>
          <w:noProof/>
        </w:rPr>
        <w:t>33</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34: Delayed discharges by geographical area</w:t>
      </w:r>
      <w:r>
        <w:rPr>
          <w:noProof/>
        </w:rPr>
        <w:tab/>
      </w:r>
      <w:r>
        <w:rPr>
          <w:noProof/>
        </w:rPr>
        <w:fldChar w:fldCharType="begin"/>
      </w:r>
      <w:r>
        <w:rPr>
          <w:noProof/>
        </w:rPr>
        <w:instrText xml:space="preserve"> PAGEREF _Toc48134844 \h </w:instrText>
      </w:r>
      <w:r>
        <w:rPr>
          <w:noProof/>
        </w:rPr>
      </w:r>
      <w:r>
        <w:rPr>
          <w:noProof/>
        </w:rPr>
        <w:fldChar w:fldCharType="separate"/>
      </w:r>
      <w:r>
        <w:rPr>
          <w:noProof/>
        </w:rPr>
        <w:t>33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Emergency Admissions from a Fall</w:t>
      </w:r>
      <w:r>
        <w:rPr>
          <w:noProof/>
        </w:rPr>
        <w:tab/>
      </w:r>
      <w:r>
        <w:rPr>
          <w:noProof/>
        </w:rPr>
        <w:fldChar w:fldCharType="begin"/>
      </w:r>
      <w:r>
        <w:rPr>
          <w:noProof/>
        </w:rPr>
        <w:instrText xml:space="preserve"> PAGEREF _Toc48134845 \h </w:instrText>
      </w:r>
      <w:r>
        <w:rPr>
          <w:noProof/>
        </w:rPr>
      </w:r>
      <w:r>
        <w:rPr>
          <w:noProof/>
        </w:rPr>
        <w:fldChar w:fldCharType="separate"/>
      </w:r>
      <w:r>
        <w:rPr>
          <w:noProof/>
        </w:rPr>
        <w:t>34</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lastRenderedPageBreak/>
        <w:t>Figure 35: Falls by age group</w:t>
      </w:r>
      <w:r>
        <w:rPr>
          <w:noProof/>
        </w:rPr>
        <w:tab/>
      </w:r>
      <w:r>
        <w:rPr>
          <w:noProof/>
        </w:rPr>
        <w:fldChar w:fldCharType="begin"/>
      </w:r>
      <w:r>
        <w:rPr>
          <w:noProof/>
        </w:rPr>
        <w:instrText xml:space="preserve"> PAGEREF _Toc48134846 \h </w:instrText>
      </w:r>
      <w:r>
        <w:rPr>
          <w:noProof/>
        </w:rPr>
      </w:r>
      <w:r>
        <w:rPr>
          <w:noProof/>
        </w:rPr>
        <w:fldChar w:fldCharType="separate"/>
      </w:r>
      <w:r>
        <w:rPr>
          <w:noProof/>
        </w:rPr>
        <w:t>34</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36: Falls by geographical area</w:t>
      </w:r>
      <w:r>
        <w:rPr>
          <w:noProof/>
        </w:rPr>
        <w:tab/>
      </w:r>
      <w:r>
        <w:rPr>
          <w:noProof/>
        </w:rPr>
        <w:fldChar w:fldCharType="begin"/>
      </w:r>
      <w:r>
        <w:rPr>
          <w:noProof/>
        </w:rPr>
        <w:instrText xml:space="preserve"> PAGEREF _Toc48134847 \h </w:instrText>
      </w:r>
      <w:r>
        <w:rPr>
          <w:noProof/>
        </w:rPr>
      </w:r>
      <w:r>
        <w:rPr>
          <w:noProof/>
        </w:rPr>
        <w:fldChar w:fldCharType="separate"/>
      </w:r>
      <w:r>
        <w:rPr>
          <w:noProof/>
        </w:rPr>
        <w:t>34</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Emergency Readmissions (28 days)</w:t>
      </w:r>
      <w:r>
        <w:rPr>
          <w:noProof/>
        </w:rPr>
        <w:tab/>
      </w:r>
      <w:r>
        <w:rPr>
          <w:noProof/>
        </w:rPr>
        <w:fldChar w:fldCharType="begin"/>
      </w:r>
      <w:r>
        <w:rPr>
          <w:noProof/>
        </w:rPr>
        <w:instrText xml:space="preserve"> PAGEREF _Toc48134848 \h </w:instrText>
      </w:r>
      <w:r>
        <w:rPr>
          <w:noProof/>
        </w:rPr>
      </w:r>
      <w:r>
        <w:rPr>
          <w:noProof/>
        </w:rPr>
        <w:fldChar w:fldCharType="separate"/>
      </w:r>
      <w:r>
        <w:rPr>
          <w:noProof/>
        </w:rPr>
        <w:t>35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37: Emergency readmissions by age group</w:t>
      </w:r>
      <w:r>
        <w:rPr>
          <w:noProof/>
        </w:rPr>
        <w:tab/>
      </w:r>
      <w:r>
        <w:rPr>
          <w:noProof/>
        </w:rPr>
        <w:fldChar w:fldCharType="begin"/>
      </w:r>
      <w:r>
        <w:rPr>
          <w:noProof/>
        </w:rPr>
        <w:instrText xml:space="preserve"> PAGEREF _Toc48134849 \h </w:instrText>
      </w:r>
      <w:r>
        <w:rPr>
          <w:noProof/>
        </w:rPr>
      </w:r>
      <w:r>
        <w:rPr>
          <w:noProof/>
        </w:rPr>
        <w:fldChar w:fldCharType="separate"/>
      </w:r>
      <w:r>
        <w:rPr>
          <w:noProof/>
        </w:rPr>
        <w:t>35</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38: Emergency readmissions by geographical area</w:t>
      </w:r>
      <w:r>
        <w:rPr>
          <w:noProof/>
        </w:rPr>
        <w:tab/>
      </w:r>
      <w:r>
        <w:rPr>
          <w:noProof/>
        </w:rPr>
        <w:fldChar w:fldCharType="begin"/>
      </w:r>
      <w:r>
        <w:rPr>
          <w:noProof/>
        </w:rPr>
        <w:instrText xml:space="preserve"> PAGEREF _Toc48134850 \h </w:instrText>
      </w:r>
      <w:r>
        <w:rPr>
          <w:noProof/>
        </w:rPr>
      </w:r>
      <w:r>
        <w:rPr>
          <w:noProof/>
        </w:rPr>
        <w:fldChar w:fldCharType="separate"/>
      </w:r>
      <w:r>
        <w:rPr>
          <w:noProof/>
        </w:rPr>
        <w:t>35</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Potentially Preventable Admissions (PPAs)</w:t>
      </w:r>
      <w:r>
        <w:rPr>
          <w:noProof/>
        </w:rPr>
        <w:tab/>
      </w:r>
      <w:r>
        <w:rPr>
          <w:noProof/>
        </w:rPr>
        <w:fldChar w:fldCharType="begin"/>
      </w:r>
      <w:r>
        <w:rPr>
          <w:noProof/>
        </w:rPr>
        <w:instrText xml:space="preserve"> PAGEREF _Toc48134851 \h </w:instrText>
      </w:r>
      <w:r>
        <w:rPr>
          <w:noProof/>
        </w:rPr>
      </w:r>
      <w:r>
        <w:rPr>
          <w:noProof/>
        </w:rPr>
        <w:fldChar w:fldCharType="separate"/>
      </w:r>
      <w:r>
        <w:rPr>
          <w:noProof/>
        </w:rPr>
        <w:t>36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39: PPAs by age group</w:t>
      </w:r>
      <w:r>
        <w:rPr>
          <w:noProof/>
        </w:rPr>
        <w:tab/>
      </w:r>
      <w:r>
        <w:rPr>
          <w:noProof/>
        </w:rPr>
        <w:fldChar w:fldCharType="begin"/>
      </w:r>
      <w:r>
        <w:rPr>
          <w:noProof/>
        </w:rPr>
        <w:instrText xml:space="preserve"> PAGEREF _Toc48134852 \h </w:instrText>
      </w:r>
      <w:r>
        <w:rPr>
          <w:noProof/>
        </w:rPr>
      </w:r>
      <w:r>
        <w:rPr>
          <w:noProof/>
        </w:rPr>
        <w:fldChar w:fldCharType="separate"/>
      </w:r>
      <w:r>
        <w:rPr>
          <w:noProof/>
        </w:rPr>
        <w:t>36</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40: PPAs by geographical area</w:t>
      </w:r>
      <w:r>
        <w:rPr>
          <w:noProof/>
        </w:rPr>
        <w:tab/>
      </w:r>
      <w:r>
        <w:rPr>
          <w:noProof/>
        </w:rPr>
        <w:fldChar w:fldCharType="begin"/>
      </w:r>
      <w:r>
        <w:rPr>
          <w:noProof/>
        </w:rPr>
        <w:instrText xml:space="preserve"> PAGEREF _Toc48134853 \h </w:instrText>
      </w:r>
      <w:r>
        <w:rPr>
          <w:noProof/>
        </w:rPr>
      </w:r>
      <w:r>
        <w:rPr>
          <w:noProof/>
        </w:rPr>
        <w:fldChar w:fldCharType="separate"/>
      </w:r>
      <w:r>
        <w:rPr>
          <w:noProof/>
        </w:rPr>
        <w:t>36</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 Last 6 months in a Community Setting</w:t>
      </w:r>
      <w:r>
        <w:rPr>
          <w:noProof/>
        </w:rPr>
        <w:tab/>
      </w:r>
      <w:r>
        <w:rPr>
          <w:noProof/>
        </w:rPr>
        <w:fldChar w:fldCharType="begin"/>
      </w:r>
      <w:r>
        <w:rPr>
          <w:noProof/>
        </w:rPr>
        <w:instrText xml:space="preserve"> PAGEREF _Toc48134854 \h </w:instrText>
      </w:r>
      <w:r>
        <w:rPr>
          <w:noProof/>
        </w:rPr>
      </w:r>
      <w:r>
        <w:rPr>
          <w:noProof/>
        </w:rPr>
        <w:fldChar w:fldCharType="separate"/>
      </w:r>
      <w:r>
        <w:rPr>
          <w:noProof/>
        </w:rPr>
        <w:t>37</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41: Last 6 months in a community setting by geographical area</w:t>
      </w:r>
      <w:r>
        <w:rPr>
          <w:noProof/>
        </w:rPr>
        <w:tab/>
      </w:r>
      <w:r>
        <w:rPr>
          <w:noProof/>
        </w:rPr>
        <w:fldChar w:fldCharType="begin"/>
      </w:r>
      <w:r>
        <w:rPr>
          <w:noProof/>
        </w:rPr>
        <w:instrText xml:space="preserve"> PAGEREF _Toc48134855 \h </w:instrText>
      </w:r>
      <w:r>
        <w:rPr>
          <w:noProof/>
        </w:rPr>
      </w:r>
      <w:r>
        <w:rPr>
          <w:noProof/>
        </w:rPr>
        <w:fldChar w:fldCharType="separate"/>
      </w:r>
      <w:r>
        <w:rPr>
          <w:noProof/>
        </w:rPr>
        <w:t>37</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Unscheduled Care in Mental Health (MH) Hospitals</w:t>
      </w:r>
      <w:r>
        <w:rPr>
          <w:noProof/>
        </w:rPr>
        <w:tab/>
      </w:r>
      <w:r>
        <w:rPr>
          <w:noProof/>
        </w:rPr>
        <w:fldChar w:fldCharType="begin"/>
      </w:r>
      <w:r>
        <w:rPr>
          <w:noProof/>
        </w:rPr>
        <w:instrText xml:space="preserve"> PAGEREF _Toc48134856 \h </w:instrText>
      </w:r>
      <w:r>
        <w:rPr>
          <w:noProof/>
        </w:rPr>
      </w:r>
      <w:r>
        <w:rPr>
          <w:noProof/>
        </w:rPr>
        <w:fldChar w:fldCharType="separate"/>
      </w:r>
      <w:r>
        <w:rPr>
          <w:noProof/>
        </w:rPr>
        <w:t>38</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Emergency Admissions (MH)</w:t>
      </w:r>
      <w:r>
        <w:rPr>
          <w:noProof/>
        </w:rPr>
        <w:tab/>
      </w:r>
      <w:r>
        <w:rPr>
          <w:noProof/>
        </w:rPr>
        <w:fldChar w:fldCharType="begin"/>
      </w:r>
      <w:r>
        <w:rPr>
          <w:noProof/>
        </w:rPr>
        <w:instrText xml:space="preserve"> PAGEREF _Toc48134857 \h </w:instrText>
      </w:r>
      <w:r>
        <w:rPr>
          <w:noProof/>
        </w:rPr>
      </w:r>
      <w:r>
        <w:rPr>
          <w:noProof/>
        </w:rPr>
        <w:fldChar w:fldCharType="separate"/>
      </w:r>
      <w:r>
        <w:rPr>
          <w:noProof/>
        </w:rPr>
        <w:t>39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42: MH Emergency admissions by age group</w:t>
      </w:r>
      <w:r>
        <w:rPr>
          <w:noProof/>
        </w:rPr>
        <w:tab/>
      </w:r>
      <w:r>
        <w:rPr>
          <w:noProof/>
        </w:rPr>
        <w:fldChar w:fldCharType="begin"/>
      </w:r>
      <w:r>
        <w:rPr>
          <w:noProof/>
        </w:rPr>
        <w:instrText xml:space="preserve"> PAGEREF _Toc48134858 \h </w:instrText>
      </w:r>
      <w:r>
        <w:rPr>
          <w:noProof/>
        </w:rPr>
      </w:r>
      <w:r>
        <w:rPr>
          <w:noProof/>
        </w:rPr>
        <w:fldChar w:fldCharType="separate"/>
      </w:r>
      <w:r>
        <w:rPr>
          <w:noProof/>
        </w:rPr>
        <w:t>39</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43: MH Emergency admissions by geographical area</w:t>
      </w:r>
      <w:r>
        <w:rPr>
          <w:noProof/>
        </w:rPr>
        <w:tab/>
      </w:r>
      <w:r>
        <w:rPr>
          <w:noProof/>
        </w:rPr>
        <w:fldChar w:fldCharType="begin"/>
      </w:r>
      <w:r>
        <w:rPr>
          <w:noProof/>
        </w:rPr>
        <w:instrText xml:space="preserve"> PAGEREF _Toc48134859 \h </w:instrText>
      </w:r>
      <w:r>
        <w:rPr>
          <w:noProof/>
        </w:rPr>
      </w:r>
      <w:r>
        <w:rPr>
          <w:noProof/>
        </w:rPr>
        <w:fldChar w:fldCharType="separate"/>
      </w:r>
      <w:r>
        <w:rPr>
          <w:noProof/>
        </w:rPr>
        <w:t>39</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Unscheduled Bed Days (MH)</w:t>
      </w:r>
      <w:r>
        <w:rPr>
          <w:noProof/>
        </w:rPr>
        <w:tab/>
      </w:r>
      <w:r>
        <w:rPr>
          <w:noProof/>
        </w:rPr>
        <w:fldChar w:fldCharType="begin"/>
      </w:r>
      <w:r>
        <w:rPr>
          <w:noProof/>
        </w:rPr>
        <w:instrText xml:space="preserve"> PAGEREF _Toc48134860 \h </w:instrText>
      </w:r>
      <w:r>
        <w:rPr>
          <w:noProof/>
        </w:rPr>
      </w:r>
      <w:r>
        <w:rPr>
          <w:noProof/>
        </w:rPr>
        <w:fldChar w:fldCharType="separate"/>
      </w:r>
      <w:r>
        <w:rPr>
          <w:noProof/>
        </w:rPr>
        <w:t>40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44: MH Unscheduled bed days by age group</w:t>
      </w:r>
      <w:r>
        <w:rPr>
          <w:noProof/>
        </w:rPr>
        <w:tab/>
      </w:r>
      <w:r>
        <w:rPr>
          <w:noProof/>
        </w:rPr>
        <w:fldChar w:fldCharType="begin"/>
      </w:r>
      <w:r>
        <w:rPr>
          <w:noProof/>
        </w:rPr>
        <w:instrText xml:space="preserve"> PAGEREF _Toc48134861 \h </w:instrText>
      </w:r>
      <w:r>
        <w:rPr>
          <w:noProof/>
        </w:rPr>
      </w:r>
      <w:r>
        <w:rPr>
          <w:noProof/>
        </w:rPr>
        <w:fldChar w:fldCharType="separate"/>
      </w:r>
      <w:r>
        <w:rPr>
          <w:noProof/>
        </w:rPr>
        <w:t>40</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45: MH Unscheduled bed days by geographical area</w:t>
      </w:r>
      <w:r>
        <w:rPr>
          <w:noProof/>
        </w:rPr>
        <w:tab/>
      </w:r>
      <w:r>
        <w:rPr>
          <w:noProof/>
        </w:rPr>
        <w:fldChar w:fldCharType="begin"/>
      </w:r>
      <w:r>
        <w:rPr>
          <w:noProof/>
        </w:rPr>
        <w:instrText xml:space="preserve"> PAGEREF _Toc48134862 \h </w:instrText>
      </w:r>
      <w:r>
        <w:rPr>
          <w:noProof/>
        </w:rPr>
      </w:r>
      <w:r>
        <w:rPr>
          <w:noProof/>
        </w:rPr>
        <w:fldChar w:fldCharType="separate"/>
      </w:r>
      <w:r>
        <w:rPr>
          <w:noProof/>
        </w:rPr>
        <w:t>40</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Delayed Discharges (MH)</w:t>
      </w:r>
      <w:r>
        <w:rPr>
          <w:noProof/>
        </w:rPr>
        <w:tab/>
      </w:r>
      <w:r>
        <w:rPr>
          <w:noProof/>
        </w:rPr>
        <w:fldChar w:fldCharType="begin"/>
      </w:r>
      <w:r>
        <w:rPr>
          <w:noProof/>
        </w:rPr>
        <w:instrText xml:space="preserve"> PAGEREF _Toc48134863 \h </w:instrText>
      </w:r>
      <w:r>
        <w:rPr>
          <w:noProof/>
        </w:rPr>
      </w:r>
      <w:r>
        <w:rPr>
          <w:noProof/>
        </w:rPr>
        <w:fldChar w:fldCharType="separate"/>
      </w:r>
      <w:r>
        <w:rPr>
          <w:noProof/>
        </w:rPr>
        <w:t>41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46: MH Delayed discharges by geographical area</w:t>
      </w:r>
      <w:r>
        <w:rPr>
          <w:noProof/>
        </w:rPr>
        <w:tab/>
      </w:r>
      <w:r>
        <w:rPr>
          <w:noProof/>
        </w:rPr>
        <w:fldChar w:fldCharType="begin"/>
      </w:r>
      <w:r>
        <w:rPr>
          <w:noProof/>
        </w:rPr>
        <w:instrText xml:space="preserve"> PAGEREF _Toc48134864 \h </w:instrText>
      </w:r>
      <w:r>
        <w:rPr>
          <w:noProof/>
        </w:rPr>
      </w:r>
      <w:r>
        <w:rPr>
          <w:noProof/>
        </w:rPr>
        <w:fldChar w:fldCharType="separate"/>
      </w:r>
      <w:r>
        <w:rPr>
          <w:noProof/>
        </w:rPr>
        <w:t>41</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Readmissions within 28 days (MH)</w:t>
      </w:r>
      <w:r>
        <w:rPr>
          <w:noProof/>
        </w:rPr>
        <w:tab/>
      </w:r>
      <w:r>
        <w:rPr>
          <w:noProof/>
        </w:rPr>
        <w:fldChar w:fldCharType="begin"/>
      </w:r>
      <w:r>
        <w:rPr>
          <w:noProof/>
        </w:rPr>
        <w:instrText xml:space="preserve"> PAGEREF _Toc48134865 \h </w:instrText>
      </w:r>
      <w:r>
        <w:rPr>
          <w:noProof/>
        </w:rPr>
      </w:r>
      <w:r>
        <w:rPr>
          <w:noProof/>
        </w:rPr>
        <w:fldChar w:fldCharType="separate"/>
      </w:r>
      <w:r>
        <w:rPr>
          <w:noProof/>
        </w:rPr>
        <w:t>41</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Figure 47: MH readmissions by geographical area</w:t>
      </w:r>
      <w:r>
        <w:rPr>
          <w:noProof/>
        </w:rPr>
        <w:tab/>
      </w:r>
      <w:r>
        <w:rPr>
          <w:noProof/>
        </w:rPr>
        <w:fldChar w:fldCharType="begin"/>
      </w:r>
      <w:r>
        <w:rPr>
          <w:noProof/>
        </w:rPr>
        <w:instrText xml:space="preserve"> PAGEREF _Toc48134866 \h </w:instrText>
      </w:r>
      <w:r>
        <w:rPr>
          <w:noProof/>
        </w:rPr>
      </w:r>
      <w:r>
        <w:rPr>
          <w:noProof/>
        </w:rPr>
        <w:fldChar w:fldCharType="separate"/>
      </w:r>
      <w:r>
        <w:rPr>
          <w:noProof/>
        </w:rPr>
        <w:t>41</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Footnotes</w:t>
      </w:r>
      <w:r>
        <w:rPr>
          <w:noProof/>
        </w:rPr>
        <w:tab/>
      </w:r>
      <w:r>
        <w:rPr>
          <w:noProof/>
        </w:rPr>
        <w:fldChar w:fldCharType="begin"/>
      </w:r>
      <w:r>
        <w:rPr>
          <w:noProof/>
        </w:rPr>
        <w:instrText xml:space="preserve"> PAGEREF _Toc48134867 \h </w:instrText>
      </w:r>
      <w:r>
        <w:rPr>
          <w:noProof/>
        </w:rPr>
      </w:r>
      <w:r>
        <w:rPr>
          <w:noProof/>
        </w:rPr>
        <w:fldChar w:fldCharType="separate"/>
      </w:r>
      <w:r>
        <w:rPr>
          <w:noProof/>
        </w:rPr>
        <w:t>42</w:t>
      </w:r>
      <w:r>
        <w:rPr>
          <w:noProof/>
        </w:rPr>
        <w:fldChar w:fldCharType="end"/>
      </w:r>
    </w:p>
    <w:p w:rsidR="00D038A1" w:rsidRDefault="00D038A1">
      <w:pPr>
        <w:pStyle w:val="TOC1"/>
        <w:tabs>
          <w:tab w:val="right" w:leader="dot" w:pos="9911"/>
        </w:tabs>
        <w:rPr>
          <w:rFonts w:asciiTheme="minorHAnsi" w:eastAsiaTheme="minorEastAsia" w:hAnsiTheme="minorHAnsi"/>
          <w:noProof/>
          <w:sz w:val="22"/>
          <w:lang w:eastAsia="en-GB"/>
        </w:rPr>
      </w:pPr>
      <w:r>
        <w:rPr>
          <w:noProof/>
        </w:rPr>
        <w:t>Appendices</w:t>
      </w:r>
      <w:r>
        <w:rPr>
          <w:noProof/>
        </w:rPr>
        <w:tab/>
      </w:r>
      <w:r>
        <w:rPr>
          <w:noProof/>
        </w:rPr>
        <w:fldChar w:fldCharType="begin"/>
      </w:r>
      <w:r>
        <w:rPr>
          <w:noProof/>
        </w:rPr>
        <w:instrText xml:space="preserve"> PAGEREF _Toc48134868 \h </w:instrText>
      </w:r>
      <w:r>
        <w:rPr>
          <w:noProof/>
        </w:rPr>
      </w:r>
      <w:r>
        <w:rPr>
          <w:noProof/>
        </w:rPr>
        <w:fldChar w:fldCharType="separate"/>
      </w:r>
      <w:r>
        <w:rPr>
          <w:noProof/>
        </w:rPr>
        <w:t>43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Appendix 1: Indicator Definitions</w:t>
      </w:r>
      <w:r>
        <w:rPr>
          <w:noProof/>
        </w:rPr>
        <w:tab/>
      </w:r>
      <w:r>
        <w:rPr>
          <w:noProof/>
        </w:rPr>
        <w:fldChar w:fldCharType="begin"/>
      </w:r>
      <w:r>
        <w:rPr>
          <w:noProof/>
        </w:rPr>
        <w:instrText xml:space="preserve"> PAGEREF _Toc48134869 \h </w:instrText>
      </w:r>
      <w:r>
        <w:rPr>
          <w:noProof/>
        </w:rPr>
      </w:r>
      <w:r>
        <w:rPr>
          <w:noProof/>
        </w:rPr>
        <w:fldChar w:fldCharType="separate"/>
      </w:r>
      <w:r>
        <w:rPr>
          <w:noProof/>
        </w:rPr>
        <w:t>43</w:t>
      </w:r>
      <w:r>
        <w:rPr>
          <w:noProof/>
        </w:rPr>
        <w:fldChar w:fldCharType="end"/>
      </w:r>
    </w:p>
    <w:p w:rsidR="00D038A1" w:rsidRDefault="00D038A1">
      <w:pPr>
        <w:pStyle w:val="TOC2"/>
        <w:tabs>
          <w:tab w:val="right" w:leader="dot" w:pos="9911"/>
        </w:tabs>
        <w:rPr>
          <w:rFonts w:asciiTheme="minorHAnsi" w:eastAsiaTheme="minorEastAsia" w:hAnsiTheme="minorHAnsi"/>
          <w:noProof/>
          <w:sz w:val="22"/>
          <w:lang w:eastAsia="en-GB"/>
        </w:rPr>
      </w:pPr>
      <w:r>
        <w:rPr>
          <w:noProof/>
        </w:rPr>
        <w:t>Appendix 2: Conditions included as Potentially Preventable Admissions (PPAs)</w:t>
      </w:r>
      <w:r>
        <w:rPr>
          <w:noProof/>
        </w:rPr>
        <w:tab/>
      </w:r>
      <w:r>
        <w:rPr>
          <w:noProof/>
        </w:rPr>
        <w:fldChar w:fldCharType="begin"/>
      </w:r>
      <w:r>
        <w:rPr>
          <w:noProof/>
        </w:rPr>
        <w:instrText xml:space="preserve"> PAGEREF _Toc48134870 \h </w:instrText>
      </w:r>
      <w:r>
        <w:rPr>
          <w:noProof/>
        </w:rPr>
      </w:r>
      <w:r>
        <w:rPr>
          <w:noProof/>
        </w:rPr>
        <w:fldChar w:fldCharType="separate"/>
      </w:r>
      <w:r>
        <w:rPr>
          <w:noProof/>
        </w:rPr>
        <w:t>46</w:t>
      </w:r>
      <w:r>
        <w:rPr>
          <w:noProof/>
        </w:rPr>
        <w:fldChar w:fldCharType="end"/>
      </w:r>
    </w:p>
    <w:p w:rsidR="00D038A1" w:rsidRPr="00D038A1" w:rsidRDefault="00D038A1" w:rsidP="00D038A1">
      <w:r>
        <w:fldChar w:fldCharType="end"/>
      </w:r>
    </w:p>
    <w:p w:rsidR="00D038A1" w:rsidRPr="00D038A1" w:rsidRDefault="00D038A1" w:rsidP="00D038A1">
      <w:pPr>
        <w:sectPr w:rsidR="00D038A1" w:rsidRPr="00D038A1" w:rsidSect="00CF380D">
          <w:headerReference w:type="default" r:id="rId9"/>
          <w:footerReference w:type="default" r:id="rId10"/>
          <w:footerReference w:type="first" r:id="rId11"/>
          <w:pgSz w:w="11906" w:h="16838"/>
          <w:pgMar w:top="1418" w:right="1134" w:bottom="1134" w:left="851" w:header="0" w:footer="397" w:gutter="0"/>
          <w:cols w:space="708"/>
          <w:docGrid w:linePitch="360"/>
        </w:sectPr>
      </w:pPr>
    </w:p>
    <w:p w:rsidR="00D038A1" w:rsidRDefault="00D038A1">
      <w:pPr>
        <w:pStyle w:val="Heading2"/>
      </w:pPr>
      <w:bookmarkStart w:id="8" w:name="summary-table"/>
      <w:bookmarkStart w:id="9" w:name="_Toc48134778"/>
      <w:bookmarkEnd w:id="8"/>
      <w:r>
        <w:lastRenderedPageBreak/>
        <w:t>Summary Table</w:t>
      </w:r>
      <w:bookmarkEnd w:id="9"/>
    </w:p>
    <w:p w:rsidR="00D038A1" w:rsidRDefault="00D038A1">
      <w:r>
        <w:rPr>
          <w:noProof/>
          <w:lang w:eastAsia="en-GB"/>
        </w:rPr>
        <w:drawing>
          <wp:inline distT="0" distB="0" distL="0" distR="0">
            <wp:extent cx="9067800" cy="4731026"/>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Summary%20Tables/Northern%20-%20Summary%20Table_files/figure-docx/unnamed-chunk-1-1.png"/>
                    <pic:cNvPicPr>
                      <a:picLocks noChangeAspect="1" noChangeArrowheads="1"/>
                    </pic:cNvPicPr>
                  </pic:nvPicPr>
                  <pic:blipFill>
                    <a:blip r:embed="rId12"/>
                    <a:stretch>
                      <a:fillRect/>
                    </a:stretch>
                  </pic:blipFill>
                  <pic:spPr bwMode="auto">
                    <a:xfrm>
                      <a:off x="0" y="0"/>
                      <a:ext cx="9067800" cy="4731026"/>
                    </a:xfrm>
                    <a:prstGeom prst="rect">
                      <a:avLst/>
                    </a:prstGeom>
                    <a:noFill/>
                    <a:ln w="9525">
                      <a:noFill/>
                      <a:headEnd/>
                      <a:tailEnd/>
                    </a:ln>
                  </pic:spPr>
                </pic:pic>
              </a:graphicData>
            </a:graphic>
          </wp:inline>
        </w:drawing>
      </w:r>
    </w:p>
    <w:p w:rsidR="00D038A1" w:rsidRDefault="00D038A1">
      <w:pPr>
        <w:pStyle w:val="Heading6"/>
      </w:pPr>
      <w:bookmarkStart w:id="10" w:name="at-hscp-and-scotland-level-the-time-peri"/>
      <w:bookmarkEnd w:id="10"/>
      <w:r>
        <w:t>*At HSCP and Scotland level, the time period is a 3-year aggregate (2016-2018)</w:t>
      </w:r>
    </w:p>
    <w:p w:rsidR="00D038A1" w:rsidRDefault="00D038A1">
      <w:pPr>
        <w:pStyle w:val="Heading5"/>
      </w:pPr>
      <w:r>
        <w:lastRenderedPageBreak/>
        <w:t>Page break</w:t>
      </w:r>
    </w:p>
    <w:p w:rsidR="00D038A1" w:rsidRDefault="00D038A1">
      <w:r>
        <w:rPr>
          <w:noProof/>
          <w:lang w:eastAsia="en-GB"/>
        </w:rPr>
        <w:drawing>
          <wp:inline distT="0" distB="0" distL="0" distR="0">
            <wp:extent cx="9067800" cy="4731026"/>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Summary%20Tables/Northern%20-%20Summary%20Table_files/figure-docx/unnamed-chunk-2-1.png"/>
                    <pic:cNvPicPr>
                      <a:picLocks noChangeAspect="1" noChangeArrowheads="1"/>
                    </pic:cNvPicPr>
                  </pic:nvPicPr>
                  <pic:blipFill>
                    <a:blip r:embed="rId13"/>
                    <a:stretch>
                      <a:fillRect/>
                    </a:stretch>
                  </pic:blipFill>
                  <pic:spPr bwMode="auto">
                    <a:xfrm>
                      <a:off x="0" y="0"/>
                      <a:ext cx="9067800" cy="4731026"/>
                    </a:xfrm>
                    <a:prstGeom prst="rect">
                      <a:avLst/>
                    </a:prstGeom>
                    <a:noFill/>
                    <a:ln w="9525">
                      <a:noFill/>
                      <a:headEnd/>
                      <a:tailEnd/>
                    </a:ln>
                  </pic:spPr>
                </pic:pic>
              </a:graphicData>
            </a:graphic>
          </wp:inline>
        </w:drawing>
      </w:r>
    </w:p>
    <w:p w:rsidR="00D038A1" w:rsidRDefault="00D038A1"/>
    <w:p w:rsidR="00D038A1" w:rsidRDefault="00D038A1">
      <w:pPr>
        <w:pStyle w:val="Heading5"/>
        <w:sectPr w:rsidR="00D038A1" w:rsidSect="00D038A1">
          <w:pgSz w:w="16838" w:h="11906" w:orient="landscape"/>
          <w:pgMar w:top="851" w:right="1418" w:bottom="1134" w:left="1134" w:header="0" w:footer="397" w:gutter="0"/>
          <w:cols w:space="708"/>
          <w:docGrid w:linePitch="360"/>
        </w:sectPr>
      </w:pPr>
    </w:p>
    <w:p w:rsidR="00D038A1" w:rsidRDefault="00D038A1">
      <w:pPr>
        <w:pStyle w:val="Heading5"/>
      </w:pPr>
    </w:p>
    <w:p w:rsidR="00D038A1" w:rsidRPr="00D038A1" w:rsidRDefault="00D038A1" w:rsidP="00D038A1"/>
    <w:p w:rsidR="00EF083D" w:rsidRDefault="00D038A1">
      <w:pPr>
        <w:pStyle w:val="Heading5"/>
      </w:pPr>
      <w:r>
        <w:lastRenderedPageBreak/>
        <w:t>Page break</w:t>
      </w:r>
    </w:p>
    <w:p w:rsidR="00EF083D" w:rsidRDefault="00D038A1">
      <w:pPr>
        <w:pStyle w:val="Heading2"/>
      </w:pPr>
      <w:bookmarkStart w:id="11" w:name="notes-for-this-profile"/>
      <w:bookmarkStart w:id="12" w:name="_Toc48134779"/>
      <w:bookmarkEnd w:id="11"/>
      <w:r>
        <w:t>Notes for this profile:</w:t>
      </w:r>
      <w:bookmarkEnd w:id="12"/>
    </w:p>
    <w:p w:rsidR="00EF083D" w:rsidRDefault="00EF083D"/>
    <w:p w:rsidR="00EF083D" w:rsidRDefault="00D038A1">
      <w:pPr>
        <w:numPr>
          <w:ilvl w:val="0"/>
          <w:numId w:val="3"/>
        </w:numPr>
      </w:pPr>
      <w:r>
        <w:t>All years shown are calendar years unless otherwise specified.</w:t>
      </w:r>
    </w:p>
    <w:p w:rsidR="00EF083D" w:rsidRDefault="00D038A1">
      <w:pPr>
        <w:numPr>
          <w:ilvl w:val="0"/>
          <w:numId w:val="3"/>
        </w:numPr>
      </w:pPr>
      <w:r>
        <w:t>Upper and lower confidence intervals are shown throughout this document where available. In charts, these are displayed as shaded areas either side of trend lines, or as black error bars in bar charts. Confidence intervals show the range of possible values</w:t>
      </w:r>
      <w:r>
        <w:t xml:space="preserve"> and a certainty that the true value falls within them.</w:t>
      </w:r>
    </w:p>
    <w:p w:rsidR="00EF083D" w:rsidRDefault="00D038A1">
      <w:pPr>
        <w:numPr>
          <w:ilvl w:val="0"/>
          <w:numId w:val="3"/>
        </w:numPr>
      </w:pPr>
      <w:r>
        <w:t>Definitions for the indicators shown are available in Appendix 1.</w:t>
      </w:r>
    </w:p>
    <w:p w:rsidR="00EF083D" w:rsidRDefault="00D038A1">
      <w:pPr>
        <w:pStyle w:val="Heading5"/>
      </w:pPr>
      <w:bookmarkStart w:id="13" w:name="page-break-1"/>
      <w:bookmarkEnd w:id="13"/>
      <w:r>
        <w:lastRenderedPageBreak/>
        <w:t>Page break</w:t>
      </w:r>
    </w:p>
    <w:p w:rsidR="00EF083D" w:rsidRDefault="00D038A1">
      <w:pPr>
        <w:pStyle w:val="Heading2"/>
      </w:pPr>
      <w:bookmarkStart w:id="14" w:name="demographics"/>
      <w:bookmarkStart w:id="15" w:name="_Toc48134780"/>
      <w:bookmarkEnd w:id="14"/>
      <w:r>
        <w:t>Demographics</w:t>
      </w:r>
      <w:bookmarkEnd w:id="15"/>
    </w:p>
    <w:p w:rsidR="00EF083D" w:rsidRDefault="00D038A1">
      <w:pPr>
        <w:pStyle w:val="Heading3"/>
      </w:pPr>
      <w:bookmarkStart w:id="16" w:name="summary"/>
      <w:bookmarkStart w:id="17" w:name="_Toc48134781"/>
      <w:bookmarkEnd w:id="16"/>
      <w:r>
        <w:t>Summary:</w:t>
      </w:r>
      <w:bookmarkEnd w:id="17"/>
    </w:p>
    <w:p w:rsidR="00EF083D" w:rsidRDefault="00D038A1">
      <w:r>
        <w:rPr>
          <w:b/>
        </w:rPr>
        <w:t>For the most recent time periods available, Northern Locality had:</w:t>
      </w:r>
    </w:p>
    <w:p w:rsidR="00EF083D" w:rsidRDefault="00D038A1">
      <w:pPr>
        <w:numPr>
          <w:ilvl w:val="0"/>
          <w:numId w:val="4"/>
        </w:numPr>
      </w:pPr>
      <w:r>
        <w:t xml:space="preserve">A total population of </w:t>
      </w:r>
      <w:r>
        <w:rPr>
          <w:b/>
        </w:rPr>
        <w:t>28,571</w:t>
      </w:r>
      <w:r>
        <w:t xml:space="preserve"> peopl</w:t>
      </w:r>
      <w:r>
        <w:t xml:space="preserve">e, where </w:t>
      </w:r>
      <w:r>
        <w:rPr>
          <w:b/>
        </w:rPr>
        <w:t>48%</w:t>
      </w:r>
      <w:r>
        <w:t xml:space="preserve"> were male, and </w:t>
      </w:r>
      <w:r>
        <w:rPr>
          <w:b/>
        </w:rPr>
        <w:t>21%</w:t>
      </w:r>
      <w:r>
        <w:t xml:space="preserve"> were aged over 65.</w:t>
      </w:r>
    </w:p>
    <w:p w:rsidR="00EF083D" w:rsidRDefault="00D038A1">
      <w:pPr>
        <w:numPr>
          <w:ilvl w:val="0"/>
          <w:numId w:val="4"/>
        </w:numPr>
      </w:pPr>
      <w:r>
        <w:rPr>
          <w:b/>
        </w:rPr>
        <w:t>8.4%</w:t>
      </w:r>
      <w:r>
        <w:t xml:space="preserve"> of people lived in the least deprived SIMD quintile, and </w:t>
      </w:r>
      <w:r>
        <w:rPr>
          <w:b/>
        </w:rPr>
        <w:t>9.5%</w:t>
      </w:r>
      <w:r>
        <w:t xml:space="preserve"> lived in the most deprived quintile.</w:t>
      </w:r>
    </w:p>
    <w:p w:rsidR="00EF083D" w:rsidRDefault="00D038A1">
      <w:pPr>
        <w:pStyle w:val="Heading3"/>
      </w:pPr>
      <w:bookmarkStart w:id="18" w:name="population"/>
      <w:bookmarkStart w:id="19" w:name="_Toc48134782"/>
      <w:bookmarkEnd w:id="18"/>
      <w:r>
        <w:t>Population</w:t>
      </w:r>
      <w:bookmarkEnd w:id="19"/>
    </w:p>
    <w:p w:rsidR="00EF083D" w:rsidRDefault="00D038A1">
      <w:r>
        <w:t>In 2018, the total population of Northern locality was 28,571. The graph below shows the p</w:t>
      </w:r>
      <w:r>
        <w:t>opulation distribution of the locality.</w:t>
      </w:r>
    </w:p>
    <w:p w:rsidR="00EF083D" w:rsidRDefault="00D038A1">
      <w:pPr>
        <w:pStyle w:val="Heading4"/>
      </w:pPr>
      <w:bookmarkStart w:id="20" w:name="figure-1-population-breakdown-in-norther"/>
      <w:bookmarkStart w:id="21" w:name="_Toc48134783"/>
      <w:bookmarkEnd w:id="20"/>
      <w:r>
        <w:t>Figure 1: Population breakdown in Northern.</w:t>
      </w:r>
      <w:bookmarkEnd w:id="21"/>
    </w:p>
    <w:p w:rsidR="00EF083D" w:rsidRDefault="00D038A1">
      <w:r>
        <w:rPr>
          <w:noProof/>
          <w:lang w:eastAsia="en-GB"/>
        </w:rPr>
        <w:drawing>
          <wp:inline distT="0" distB="0" distL="0" distR="0">
            <wp:extent cx="6299200" cy="2155976"/>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1.png"/>
                    <pic:cNvPicPr>
                      <a:picLocks noChangeAspect="1" noChangeArrowheads="1"/>
                    </pic:cNvPicPr>
                  </pic:nvPicPr>
                  <pic:blipFill>
                    <a:blip r:embed="rId14"/>
                    <a:stretch>
                      <a:fillRect/>
                    </a:stretch>
                  </pic:blipFill>
                  <pic:spPr bwMode="auto">
                    <a:xfrm>
                      <a:off x="0" y="0"/>
                      <a:ext cx="6299200" cy="2155976"/>
                    </a:xfrm>
                    <a:prstGeom prst="rect">
                      <a:avLst/>
                    </a:prstGeom>
                    <a:noFill/>
                    <a:ln w="9525">
                      <a:noFill/>
                      <a:headEnd/>
                      <a:tailEnd/>
                    </a:ln>
                  </pic:spPr>
                </pic:pic>
              </a:graphicData>
            </a:graphic>
          </wp:inline>
        </w:drawing>
      </w:r>
    </w:p>
    <w:p w:rsidR="00EF083D" w:rsidRDefault="00D038A1">
      <w:r>
        <w:t>Figure 2 shows the historical population of Northern, along with the NRS population projections. The population has been rising. The population in Northern is estimated t</w:t>
      </w:r>
      <w:r>
        <w:t xml:space="preserve">o decrease by 1.1% from 2018 to 2025. </w:t>
      </w:r>
      <w:r>
        <w:rPr>
          <w:i/>
        </w:rPr>
        <w:t>Please see the footnotes for more information on how the population projections were calculated</w:t>
      </w:r>
      <w:r>
        <w:rPr>
          <w:i/>
          <w:vertAlign w:val="superscript"/>
        </w:rPr>
        <w:t>1</w:t>
      </w:r>
      <w:r>
        <w:rPr>
          <w:i/>
        </w:rPr>
        <w:t>.</w:t>
      </w:r>
    </w:p>
    <w:p w:rsidR="00EF083D" w:rsidRDefault="00D038A1">
      <w:pPr>
        <w:pStyle w:val="Heading4"/>
      </w:pPr>
      <w:bookmarkStart w:id="22" w:name="figure-2-population-time-trend-and-proje"/>
      <w:bookmarkStart w:id="23" w:name="_Toc48134784"/>
      <w:bookmarkEnd w:id="22"/>
      <w:r>
        <w:t>Figure 2: Population time trend and projection.</w:t>
      </w:r>
      <w:bookmarkEnd w:id="23"/>
    </w:p>
    <w:p w:rsidR="00EF083D" w:rsidRDefault="00EF083D"/>
    <w:p w:rsidR="00EF083D" w:rsidRDefault="00D038A1">
      <w:r>
        <w:rPr>
          <w:noProof/>
          <w:lang w:eastAsia="en-GB"/>
        </w:rPr>
        <w:drawing>
          <wp:inline distT="0" distB="0" distL="0" distR="0">
            <wp:extent cx="6299200" cy="2334078"/>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1.png"/>
                    <pic:cNvPicPr>
                      <a:picLocks noChangeAspect="1" noChangeArrowheads="1"/>
                    </pic:cNvPicPr>
                  </pic:nvPicPr>
                  <pic:blipFill>
                    <a:blip r:embed="rId15"/>
                    <a:stretch>
                      <a:fillRect/>
                    </a:stretch>
                  </pic:blipFill>
                  <pic:spPr bwMode="auto">
                    <a:xfrm>
                      <a:off x="0" y="0"/>
                      <a:ext cx="6299200" cy="2334078"/>
                    </a:xfrm>
                    <a:prstGeom prst="rect">
                      <a:avLst/>
                    </a:prstGeom>
                    <a:noFill/>
                    <a:ln w="9525">
                      <a:noFill/>
                      <a:headEnd/>
                      <a:tailEnd/>
                    </a:ln>
                  </pic:spPr>
                </pic:pic>
              </a:graphicData>
            </a:graphic>
          </wp:inline>
        </w:drawing>
      </w:r>
    </w:p>
    <w:p w:rsidR="00EF083D" w:rsidRDefault="00D038A1">
      <w:pPr>
        <w:pStyle w:val="Heading5"/>
      </w:pPr>
      <w:bookmarkStart w:id="24" w:name="page-break-2"/>
      <w:bookmarkEnd w:id="24"/>
      <w:r>
        <w:lastRenderedPageBreak/>
        <w:t>Page break</w:t>
      </w:r>
    </w:p>
    <w:p w:rsidR="00EF083D" w:rsidRDefault="00D038A1">
      <w:r>
        <w:t>Figure 3 shows how population structure has changed betwee</w:t>
      </w:r>
      <w:r>
        <w:t>n 2013 and 2018.</w:t>
      </w:r>
    </w:p>
    <w:p w:rsidR="00EF083D" w:rsidRDefault="00D038A1">
      <w:pPr>
        <w:pStyle w:val="Heading4"/>
      </w:pPr>
      <w:bookmarkStart w:id="25" w:name="figure-3-change-in-population-structure-"/>
      <w:bookmarkStart w:id="26" w:name="_Toc48134785"/>
      <w:bookmarkEnd w:id="25"/>
      <w:r>
        <w:t>Figure 3: Change in population structure over the last five years.</w:t>
      </w:r>
      <w:bookmarkEnd w:id="26"/>
    </w:p>
    <w:p w:rsidR="00EF083D" w:rsidRDefault="00EF083D"/>
    <w:p w:rsidR="00EF083D" w:rsidRDefault="00D038A1">
      <w:r>
        <w:rPr>
          <w:noProof/>
          <w:lang w:eastAsia="en-GB"/>
        </w:rPr>
        <w:drawing>
          <wp:inline distT="0" distB="0" distL="0" distR="0">
            <wp:extent cx="6299200" cy="2699657"/>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1.png"/>
                    <pic:cNvPicPr>
                      <a:picLocks noChangeAspect="1" noChangeArrowheads="1"/>
                    </pic:cNvPicPr>
                  </pic:nvPicPr>
                  <pic:blipFill>
                    <a:blip r:embed="rId16"/>
                    <a:stretch>
                      <a:fillRect/>
                    </a:stretch>
                  </pic:blipFill>
                  <pic:spPr bwMode="auto">
                    <a:xfrm>
                      <a:off x="0" y="0"/>
                      <a:ext cx="6299200" cy="2699657"/>
                    </a:xfrm>
                    <a:prstGeom prst="rect">
                      <a:avLst/>
                    </a:prstGeom>
                    <a:noFill/>
                    <a:ln w="9525">
                      <a:noFill/>
                      <a:headEnd/>
                      <a:tailEnd/>
                    </a:ln>
                  </pic:spPr>
                </pic:pic>
              </a:graphicData>
            </a:graphic>
          </wp:inline>
        </w:drawing>
      </w:r>
    </w:p>
    <w:p w:rsidR="00EF083D" w:rsidRDefault="00EF083D"/>
    <w:p w:rsidR="00EF083D" w:rsidRDefault="00D038A1">
      <w:pPr>
        <w:pStyle w:val="Heading3"/>
      </w:pPr>
      <w:bookmarkStart w:id="27" w:name="deprivation"/>
      <w:bookmarkStart w:id="28" w:name="_Toc48134786"/>
      <w:bookmarkEnd w:id="27"/>
      <w:r>
        <w:t>Deprivation</w:t>
      </w:r>
      <w:bookmarkEnd w:id="28"/>
    </w:p>
    <w:p w:rsidR="00EF083D" w:rsidRDefault="00D038A1">
      <w:r>
        <w:t>The following section explores the deprivation structure of Northern through the Scottish Index of Multiple Deprivation (SIMD). The SIMD ranks all datazones in Scotland by a number of factors; Access, Crime, Education, Employment, Health, Housing and Incom</w:t>
      </w:r>
      <w:r>
        <w:t>e. Based on these ranks, each datazone is then given an overall deprivation rank, which is used to split datazones into Deprivation Quintiles (Quintile 1 being the most deprived, and Quintile 5 the least). The most recent SIMD ranking was carried out in 20</w:t>
      </w:r>
      <w:r>
        <w:t>20. This section mainly focuses on the SIMD 2020 classifications, however the 2016 classifications are used to assess how deprivation has changed in Northern when compared to the rest of Scotland.</w:t>
      </w:r>
    </w:p>
    <w:p w:rsidR="00EF083D" w:rsidRDefault="00D038A1">
      <w:r>
        <w:t xml:space="preserve">Of the 2018 population in Northern, </w:t>
      </w:r>
      <w:r>
        <w:rPr>
          <w:b/>
        </w:rPr>
        <w:t>9.5%</w:t>
      </w:r>
      <w:r>
        <w:t xml:space="preserve"> live in the most d</w:t>
      </w:r>
      <w:r>
        <w:t xml:space="preserve">eprived SIMD Quintile, and </w:t>
      </w:r>
      <w:r>
        <w:rPr>
          <w:b/>
        </w:rPr>
        <w:t>8.4%</w:t>
      </w:r>
      <w:r>
        <w:t xml:space="preserve"> live in the least deprived SIMD Quintile. The following table details the percent of the population living in the 2016 SIMD Quintiles, the percent living in the 2020 SIMD Quintiles, and their difference for comparison.</w:t>
      </w:r>
    </w:p>
    <w:p w:rsidR="00EF083D" w:rsidRDefault="00D038A1">
      <w:pPr>
        <w:pStyle w:val="Heading4"/>
      </w:pPr>
      <w:bookmarkStart w:id="29" w:name="table-1-percentage-population-living-in-"/>
      <w:bookmarkStart w:id="30" w:name="_Toc48134787"/>
      <w:bookmarkEnd w:id="29"/>
      <w:r>
        <w:t>Table</w:t>
      </w:r>
      <w:r>
        <w:t xml:space="preserve"> 1: Percentage population living in the 2016 and 2020 SIMD Datazone Quintiles</w:t>
      </w:r>
      <w:bookmarkEnd w:id="30"/>
    </w:p>
    <w:p w:rsidR="00EF083D" w:rsidRDefault="00EF083D"/>
    <w:tbl>
      <w:tblPr>
        <w:tblStyle w:val="ISDPubsTables"/>
        <w:tblW w:w="5000" w:type="pct"/>
        <w:tblLook w:val="04A0" w:firstRow="1" w:lastRow="0" w:firstColumn="1" w:lastColumn="0" w:noHBand="0" w:noVBand="1"/>
      </w:tblPr>
      <w:tblGrid>
        <w:gridCol w:w="1445"/>
        <w:gridCol w:w="3444"/>
        <w:gridCol w:w="3444"/>
        <w:gridCol w:w="1804"/>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Quintile</w:t>
            </w:r>
          </w:p>
        </w:tc>
        <w:tc>
          <w:tcPr>
            <w:tcW w:w="0" w:type="auto"/>
          </w:tcPr>
          <w:p w:rsidR="00EF083D" w:rsidRDefault="00D038A1" w:rsidP="00D038A1">
            <w:r>
              <w:t>Percent of Pop (2016)</w:t>
            </w:r>
          </w:p>
        </w:tc>
        <w:tc>
          <w:tcPr>
            <w:tcW w:w="0" w:type="auto"/>
          </w:tcPr>
          <w:p w:rsidR="00EF083D" w:rsidRDefault="00D038A1" w:rsidP="00D038A1">
            <w:r>
              <w:t>Percent of Pop (2020)</w:t>
            </w:r>
          </w:p>
        </w:tc>
        <w:tc>
          <w:tcPr>
            <w:tcW w:w="0" w:type="auto"/>
          </w:tcPr>
          <w:p w:rsidR="00EF083D" w:rsidRDefault="00D038A1" w:rsidP="00D038A1">
            <w:r>
              <w:t>Difference</w:t>
            </w:r>
          </w:p>
        </w:tc>
      </w:tr>
      <w:tr w:rsidR="00EF083D" w:rsidTr="00D038A1">
        <w:tc>
          <w:tcPr>
            <w:tcW w:w="0" w:type="auto"/>
          </w:tcPr>
          <w:p w:rsidR="00EF083D" w:rsidRDefault="00D038A1" w:rsidP="00D038A1">
            <w:pPr>
              <w:jc w:val="left"/>
            </w:pPr>
            <w:r>
              <w:t>SIMD 1</w:t>
            </w:r>
          </w:p>
        </w:tc>
        <w:tc>
          <w:tcPr>
            <w:tcW w:w="0" w:type="auto"/>
          </w:tcPr>
          <w:p w:rsidR="00EF083D" w:rsidRDefault="00D038A1" w:rsidP="00D038A1">
            <w:r>
              <w:t>12.7%</w:t>
            </w:r>
          </w:p>
        </w:tc>
        <w:tc>
          <w:tcPr>
            <w:tcW w:w="0" w:type="auto"/>
          </w:tcPr>
          <w:p w:rsidR="00EF083D" w:rsidRDefault="00D038A1" w:rsidP="00D038A1">
            <w:r>
              <w:t>9.5%</w:t>
            </w:r>
          </w:p>
        </w:tc>
        <w:tc>
          <w:tcPr>
            <w:tcW w:w="0" w:type="auto"/>
          </w:tcPr>
          <w:p w:rsidR="00EF083D" w:rsidRDefault="00D038A1" w:rsidP="00D038A1">
            <w:r>
              <w:t>-3.2%</w:t>
            </w:r>
          </w:p>
        </w:tc>
      </w:tr>
      <w:tr w:rsidR="00EF083D" w:rsidTr="00D038A1">
        <w:tc>
          <w:tcPr>
            <w:tcW w:w="0" w:type="auto"/>
          </w:tcPr>
          <w:p w:rsidR="00EF083D" w:rsidRDefault="00D038A1" w:rsidP="00D038A1">
            <w:pPr>
              <w:jc w:val="left"/>
            </w:pPr>
            <w:r>
              <w:t>SIMD 2</w:t>
            </w:r>
          </w:p>
        </w:tc>
        <w:tc>
          <w:tcPr>
            <w:tcW w:w="0" w:type="auto"/>
          </w:tcPr>
          <w:p w:rsidR="00EF083D" w:rsidRDefault="00D038A1" w:rsidP="00D038A1">
            <w:r>
              <w:t>27.1%</w:t>
            </w:r>
          </w:p>
        </w:tc>
        <w:tc>
          <w:tcPr>
            <w:tcW w:w="0" w:type="auto"/>
          </w:tcPr>
          <w:p w:rsidR="00EF083D" w:rsidRDefault="00D038A1" w:rsidP="00D038A1">
            <w:r>
              <w:t>25.7%</w:t>
            </w:r>
          </w:p>
        </w:tc>
        <w:tc>
          <w:tcPr>
            <w:tcW w:w="0" w:type="auto"/>
          </w:tcPr>
          <w:p w:rsidR="00EF083D" w:rsidRDefault="00D038A1" w:rsidP="00D038A1">
            <w:r>
              <w:t>-1.3%</w:t>
            </w:r>
          </w:p>
        </w:tc>
      </w:tr>
      <w:tr w:rsidR="00EF083D" w:rsidTr="00D038A1">
        <w:tc>
          <w:tcPr>
            <w:tcW w:w="0" w:type="auto"/>
          </w:tcPr>
          <w:p w:rsidR="00EF083D" w:rsidRDefault="00D038A1" w:rsidP="00D038A1">
            <w:pPr>
              <w:jc w:val="left"/>
            </w:pPr>
            <w:r>
              <w:t>SIMD 3</w:t>
            </w:r>
          </w:p>
        </w:tc>
        <w:tc>
          <w:tcPr>
            <w:tcW w:w="0" w:type="auto"/>
          </w:tcPr>
          <w:p w:rsidR="00EF083D" w:rsidRDefault="00D038A1" w:rsidP="00D038A1">
            <w:r>
              <w:t>24.0%</w:t>
            </w:r>
          </w:p>
        </w:tc>
        <w:tc>
          <w:tcPr>
            <w:tcW w:w="0" w:type="auto"/>
          </w:tcPr>
          <w:p w:rsidR="00EF083D" w:rsidRDefault="00D038A1" w:rsidP="00D038A1">
            <w:r>
              <w:t>26.4%</w:t>
            </w:r>
          </w:p>
        </w:tc>
        <w:tc>
          <w:tcPr>
            <w:tcW w:w="0" w:type="auto"/>
          </w:tcPr>
          <w:p w:rsidR="00EF083D" w:rsidRDefault="00D038A1" w:rsidP="00D038A1">
            <w:r>
              <w:t>2.4%</w:t>
            </w:r>
          </w:p>
        </w:tc>
      </w:tr>
      <w:tr w:rsidR="00EF083D" w:rsidTr="00D038A1">
        <w:tc>
          <w:tcPr>
            <w:tcW w:w="0" w:type="auto"/>
          </w:tcPr>
          <w:p w:rsidR="00EF083D" w:rsidRDefault="00D038A1" w:rsidP="00D038A1">
            <w:pPr>
              <w:jc w:val="left"/>
            </w:pPr>
            <w:r>
              <w:t>SIMD 4</w:t>
            </w:r>
          </w:p>
        </w:tc>
        <w:tc>
          <w:tcPr>
            <w:tcW w:w="0" w:type="auto"/>
          </w:tcPr>
          <w:p w:rsidR="00EF083D" w:rsidRDefault="00D038A1" w:rsidP="00D038A1">
            <w:r>
              <w:t>24.2%</w:t>
            </w:r>
          </w:p>
        </w:tc>
        <w:tc>
          <w:tcPr>
            <w:tcW w:w="0" w:type="auto"/>
          </w:tcPr>
          <w:p w:rsidR="00EF083D" w:rsidRDefault="00D038A1" w:rsidP="00D038A1">
            <w:r>
              <w:t>29.9%</w:t>
            </w:r>
          </w:p>
        </w:tc>
        <w:tc>
          <w:tcPr>
            <w:tcW w:w="0" w:type="auto"/>
          </w:tcPr>
          <w:p w:rsidR="00EF083D" w:rsidRDefault="00D038A1" w:rsidP="00D038A1">
            <w:r>
              <w:t>5.7%</w:t>
            </w:r>
          </w:p>
        </w:tc>
      </w:tr>
      <w:tr w:rsidR="00EF083D" w:rsidTr="00D038A1">
        <w:tc>
          <w:tcPr>
            <w:tcW w:w="0" w:type="auto"/>
          </w:tcPr>
          <w:p w:rsidR="00EF083D" w:rsidRDefault="00D038A1" w:rsidP="00D038A1">
            <w:pPr>
              <w:jc w:val="left"/>
            </w:pPr>
            <w:r>
              <w:t>SIMD 5</w:t>
            </w:r>
          </w:p>
        </w:tc>
        <w:tc>
          <w:tcPr>
            <w:tcW w:w="0" w:type="auto"/>
          </w:tcPr>
          <w:p w:rsidR="00EF083D" w:rsidRDefault="00D038A1" w:rsidP="00D038A1">
            <w:r>
              <w:t>12.1%</w:t>
            </w:r>
          </w:p>
        </w:tc>
        <w:tc>
          <w:tcPr>
            <w:tcW w:w="0" w:type="auto"/>
          </w:tcPr>
          <w:p w:rsidR="00EF083D" w:rsidRDefault="00D038A1" w:rsidP="00D038A1">
            <w:r>
              <w:t>8.4%</w:t>
            </w:r>
          </w:p>
        </w:tc>
        <w:tc>
          <w:tcPr>
            <w:tcW w:w="0" w:type="auto"/>
          </w:tcPr>
          <w:p w:rsidR="00EF083D" w:rsidRDefault="00D038A1" w:rsidP="00D038A1">
            <w:r>
              <w:t>-3.6%</w:t>
            </w:r>
          </w:p>
        </w:tc>
      </w:tr>
    </w:tbl>
    <w:p w:rsidR="00EF083D" w:rsidRDefault="00D038A1">
      <w:pPr>
        <w:pStyle w:val="Heading4"/>
      </w:pPr>
      <w:bookmarkStart w:id="31" w:name="figure-4-map-of-data-zones-within-northe"/>
      <w:bookmarkStart w:id="32" w:name="_Toc48134788"/>
      <w:bookmarkEnd w:id="31"/>
      <w:r>
        <w:lastRenderedPageBreak/>
        <w:t>Figure 4: Map of Data Zones within Northern coloured by SIMD quintiles.</w:t>
      </w:r>
      <w:bookmarkEnd w:id="32"/>
    </w:p>
    <w:p w:rsidR="00EF083D" w:rsidRDefault="00D038A1">
      <w:r>
        <w:rPr>
          <w:noProof/>
          <w:lang w:eastAsia="en-GB"/>
        </w:rPr>
        <w:drawing>
          <wp:inline distT="0" distB="0" distL="0" distR="0">
            <wp:extent cx="6299200" cy="3599542"/>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1.png"/>
                    <pic:cNvPicPr>
                      <a:picLocks noChangeAspect="1" noChangeArrowheads="1"/>
                    </pic:cNvPicPr>
                  </pic:nvPicPr>
                  <pic:blipFill>
                    <a:blip r:embed="rId17"/>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33" w:name="figure-5-proportion-of-the-population-th"/>
      <w:bookmarkStart w:id="34" w:name="_Toc48134789"/>
      <w:bookmarkEnd w:id="33"/>
      <w:r>
        <w:t>Figure 5: Proportion of the population that reside in each 2020 SIMD quintile by domain.</w:t>
      </w:r>
      <w:bookmarkEnd w:id="34"/>
    </w:p>
    <w:p w:rsidR="00EF083D" w:rsidRDefault="00EF083D"/>
    <w:p w:rsidR="00EF083D" w:rsidRDefault="00D038A1">
      <w:r>
        <w:rPr>
          <w:noProof/>
          <w:lang w:eastAsia="en-GB"/>
        </w:rPr>
        <w:drawing>
          <wp:inline distT="0" distB="0" distL="0" distR="0">
            <wp:extent cx="6299200" cy="3599542"/>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6-1.png"/>
                    <pic:cNvPicPr>
                      <a:picLocks noChangeAspect="1" noChangeArrowheads="1"/>
                    </pic:cNvPicPr>
                  </pic:nvPicPr>
                  <pic:blipFill>
                    <a:blip r:embed="rId18"/>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5"/>
      </w:pPr>
      <w:bookmarkStart w:id="35" w:name="page-break-3"/>
      <w:bookmarkEnd w:id="35"/>
      <w:r>
        <w:lastRenderedPageBreak/>
        <w:t>Page Break</w:t>
      </w:r>
    </w:p>
    <w:p w:rsidR="00EF083D" w:rsidRDefault="00D038A1">
      <w:pPr>
        <w:pStyle w:val="Heading4"/>
      </w:pPr>
      <w:bookmarkStart w:id="36" w:name="figure-6-percentage-population-living-in"/>
      <w:bookmarkStart w:id="37" w:name="_Toc48134790"/>
      <w:bookmarkEnd w:id="36"/>
      <w:r>
        <w:t>Figure 6: Percentage population living in the 2016 and the 2020 SIMD and Domain Quintiles</w:t>
      </w:r>
      <w:bookmarkEnd w:id="37"/>
    </w:p>
    <w:p w:rsidR="00EF083D" w:rsidRDefault="00EF083D"/>
    <w:p w:rsidR="00EF083D" w:rsidRDefault="00D038A1">
      <w:r>
        <w:t>Figure 6 presents a comparison between the 2016 Scottish Index of Multiple Deprivation figures, and the new 2020 SIMD figures. The percentages of the population livi</w:t>
      </w:r>
      <w:r>
        <w:t>ng within each SIMD quintile and domain quintile were calculated first using the 2016 SIMD datazone classifications, and then the 2020 SIMD classifications. The differences in these percentages are plotted in Figure 6. Negative values on the y axis indicat</w:t>
      </w:r>
      <w:r>
        <w:t xml:space="preserve">e a decrease in percent of the population living within a quintile, while positive values indicate an increase in percent of the population living within a quintile. </w:t>
      </w:r>
      <w:r>
        <w:rPr>
          <w:b/>
        </w:rPr>
        <w:t>Please note that quintiles have been weighted by the Scottish population so, any local cha</w:t>
      </w:r>
      <w:r>
        <w:rPr>
          <w:b/>
        </w:rPr>
        <w:t>nges in SIMD quintile do not necessarily indicate a difference in deprivation, but rather a difference in deprivation in comparison to the rest of Scotland.</w:t>
      </w:r>
      <w:r>
        <w:t xml:space="preserve"> </w:t>
      </w:r>
    </w:p>
    <w:p w:rsidR="00EF083D" w:rsidRDefault="00D038A1">
      <w:r>
        <w:rPr>
          <w:noProof/>
          <w:lang w:eastAsia="en-GB"/>
        </w:rPr>
        <w:drawing>
          <wp:inline distT="0" distB="0" distL="0" distR="0">
            <wp:extent cx="6299200" cy="5879253"/>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7-1.png"/>
                    <pic:cNvPicPr>
                      <a:picLocks noChangeAspect="1" noChangeArrowheads="1"/>
                    </pic:cNvPicPr>
                  </pic:nvPicPr>
                  <pic:blipFill>
                    <a:blip r:embed="rId19"/>
                    <a:stretch>
                      <a:fillRect/>
                    </a:stretch>
                  </pic:blipFill>
                  <pic:spPr bwMode="auto">
                    <a:xfrm>
                      <a:off x="0" y="0"/>
                      <a:ext cx="6299200" cy="5879253"/>
                    </a:xfrm>
                    <a:prstGeom prst="rect">
                      <a:avLst/>
                    </a:prstGeom>
                    <a:noFill/>
                    <a:ln w="9525">
                      <a:noFill/>
                      <a:headEnd/>
                      <a:tailEnd/>
                    </a:ln>
                  </pic:spPr>
                </pic:pic>
              </a:graphicData>
            </a:graphic>
          </wp:inline>
        </w:drawing>
      </w:r>
    </w:p>
    <w:p w:rsidR="00EF083D" w:rsidRDefault="00D038A1">
      <w:pPr>
        <w:pStyle w:val="Heading5"/>
      </w:pPr>
      <w:bookmarkStart w:id="38" w:name="page-break-4"/>
      <w:bookmarkEnd w:id="38"/>
      <w:r>
        <w:lastRenderedPageBreak/>
        <w:t>Page Break</w:t>
      </w:r>
    </w:p>
    <w:p w:rsidR="00EF083D" w:rsidRDefault="00D038A1">
      <w:pPr>
        <w:pStyle w:val="Heading2"/>
      </w:pPr>
      <w:bookmarkStart w:id="39" w:name="households"/>
      <w:bookmarkStart w:id="40" w:name="_Toc48134791"/>
      <w:bookmarkEnd w:id="39"/>
      <w:r>
        <w:t>Households</w:t>
      </w:r>
      <w:bookmarkEnd w:id="40"/>
    </w:p>
    <w:p w:rsidR="00EF083D" w:rsidRDefault="00D038A1">
      <w:pPr>
        <w:pStyle w:val="Heading3"/>
      </w:pPr>
      <w:bookmarkStart w:id="41" w:name="summary-1"/>
      <w:bookmarkStart w:id="42" w:name="_Toc48134792"/>
      <w:bookmarkEnd w:id="41"/>
      <w:r>
        <w:t>Summary:</w:t>
      </w:r>
      <w:bookmarkEnd w:id="42"/>
    </w:p>
    <w:p w:rsidR="00EF083D" w:rsidRDefault="00D038A1">
      <w:r>
        <w:rPr>
          <w:b/>
        </w:rPr>
        <w:t>For the most recent time periods available, Northern Locality had</w:t>
      </w:r>
      <w:r>
        <w:rPr>
          <w:b/>
        </w:rPr>
        <w:t>:</w:t>
      </w:r>
    </w:p>
    <w:p w:rsidR="00EF083D" w:rsidRDefault="00D038A1">
      <w:pPr>
        <w:numPr>
          <w:ilvl w:val="0"/>
          <w:numId w:val="5"/>
        </w:numPr>
      </w:pPr>
      <w:r>
        <w:rPr>
          <w:b/>
        </w:rPr>
        <w:t>13,659</w:t>
      </w:r>
      <w:r>
        <w:t xml:space="preserve"> dwellings, of which: </w:t>
      </w:r>
      <w:r>
        <w:rPr>
          <w:b/>
        </w:rPr>
        <w:t>96%</w:t>
      </w:r>
      <w:r>
        <w:t xml:space="preserve"> were occupied and </w:t>
      </w:r>
      <w:r>
        <w:rPr>
          <w:b/>
        </w:rPr>
        <w:t>0.25%</w:t>
      </w:r>
      <w:r>
        <w:t xml:space="preserve"> were second homes.</w:t>
      </w:r>
    </w:p>
    <w:p w:rsidR="00EF083D" w:rsidRDefault="00D038A1">
      <w:pPr>
        <w:numPr>
          <w:ilvl w:val="0"/>
          <w:numId w:val="5"/>
        </w:numPr>
      </w:pPr>
      <w:r>
        <w:rPr>
          <w:b/>
        </w:rPr>
        <w:t>35%</w:t>
      </w:r>
      <w:r>
        <w:t xml:space="preserve"> of dwellers received a single occupant council tax discount, and </w:t>
      </w:r>
      <w:r>
        <w:rPr>
          <w:b/>
        </w:rPr>
        <w:t>0.89%</w:t>
      </w:r>
      <w:r>
        <w:t xml:space="preserve"> were exempt from council tax entirely.</w:t>
      </w:r>
    </w:p>
    <w:p w:rsidR="00EF083D" w:rsidRDefault="00D038A1">
      <w:pPr>
        <w:numPr>
          <w:ilvl w:val="0"/>
          <w:numId w:val="5"/>
        </w:numPr>
      </w:pPr>
      <w:r>
        <w:rPr>
          <w:b/>
        </w:rPr>
        <w:t>58%</w:t>
      </w:r>
      <w:r>
        <w:t xml:space="preserve"> of houses were within council tax bands A to C, and </w:t>
      </w:r>
      <w:r>
        <w:rPr>
          <w:b/>
        </w:rPr>
        <w:t>15%</w:t>
      </w:r>
      <w:r>
        <w:t xml:space="preserve"> were </w:t>
      </w:r>
      <w:r>
        <w:t>in bands F to H.</w:t>
      </w:r>
    </w:p>
    <w:p w:rsidR="00EF083D" w:rsidRDefault="00EF083D"/>
    <w:p w:rsidR="00EF083D" w:rsidRDefault="00D038A1">
      <w:r>
        <w:t>The graph below shows the number of dwellings in Northern from 2014 to 2019.</w:t>
      </w:r>
    </w:p>
    <w:p w:rsidR="00EF083D" w:rsidRDefault="00D038A1">
      <w:pPr>
        <w:pStyle w:val="Heading4"/>
      </w:pPr>
      <w:bookmarkStart w:id="43" w:name="figure-7-number-of-dwellings-time-trend."/>
      <w:bookmarkStart w:id="44" w:name="_Toc48134793"/>
      <w:bookmarkEnd w:id="43"/>
      <w:r>
        <w:t>Figure 7: Number of dwellings time trend.</w:t>
      </w:r>
      <w:bookmarkEnd w:id="44"/>
    </w:p>
    <w:p w:rsidR="00EF083D" w:rsidRDefault="00EF083D"/>
    <w:p w:rsidR="00EF083D" w:rsidRDefault="00D038A1">
      <w:r>
        <w:rPr>
          <w:noProof/>
          <w:lang w:eastAsia="en-GB"/>
        </w:rPr>
        <w:drawing>
          <wp:inline distT="0" distB="0" distL="0" distR="0">
            <wp:extent cx="6299200" cy="2699657"/>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8-1.png"/>
                    <pic:cNvPicPr>
                      <a:picLocks noChangeAspect="1" noChangeArrowheads="1"/>
                    </pic:cNvPicPr>
                  </pic:nvPicPr>
                  <pic:blipFill>
                    <a:blip r:embed="rId20"/>
                    <a:stretch>
                      <a:fillRect/>
                    </a:stretch>
                  </pic:blipFill>
                  <pic:spPr bwMode="auto">
                    <a:xfrm>
                      <a:off x="0" y="0"/>
                      <a:ext cx="6299200" cy="2699657"/>
                    </a:xfrm>
                    <a:prstGeom prst="rect">
                      <a:avLst/>
                    </a:prstGeom>
                    <a:noFill/>
                    <a:ln w="9525">
                      <a:noFill/>
                      <a:headEnd/>
                      <a:tailEnd/>
                    </a:ln>
                  </pic:spPr>
                </pic:pic>
              </a:graphicData>
            </a:graphic>
          </wp:inline>
        </w:drawing>
      </w:r>
    </w:p>
    <w:p w:rsidR="00EF083D" w:rsidRDefault="00D038A1">
      <w:r>
        <w:t>Of the total number of dwellings in 2019, 35% (4,714 households) were occupied by an individual receiving a single o</w:t>
      </w:r>
      <w:r>
        <w:t>ccupant council tax discount. Furthermore, 0.89% (122 households) were occupied and exempt from council tax.</w:t>
      </w:r>
    </w:p>
    <w:p w:rsidR="00EF083D" w:rsidRDefault="00D038A1">
      <w:r>
        <w:t>There were 34 dwellings classed as a second home in 2019, these dwellings made up 0.25% of the households in Northern.</w:t>
      </w:r>
    </w:p>
    <w:p w:rsidR="00EF083D" w:rsidRDefault="00D038A1">
      <w:pPr>
        <w:pStyle w:val="Heading5"/>
      </w:pPr>
      <w:bookmarkStart w:id="45" w:name="page-break-5"/>
      <w:bookmarkEnd w:id="45"/>
      <w:r>
        <w:lastRenderedPageBreak/>
        <w:t>Page break</w:t>
      </w:r>
    </w:p>
    <w:p w:rsidR="00EF083D" w:rsidRDefault="00D038A1">
      <w:pPr>
        <w:pStyle w:val="Heading4"/>
      </w:pPr>
      <w:bookmarkStart w:id="46" w:name="table-2-breakdown-of-dwelling-types-by-y"/>
      <w:bookmarkStart w:id="47" w:name="_Toc48134794"/>
      <w:bookmarkEnd w:id="46"/>
      <w:r>
        <w:t>Table 2: Breakdow</w:t>
      </w:r>
      <w:r>
        <w:t>n of dwelling types by year for Northern locality.</w:t>
      </w:r>
      <w:bookmarkEnd w:id="47"/>
    </w:p>
    <w:p w:rsidR="00EF083D" w:rsidRDefault="00EF083D"/>
    <w:tbl>
      <w:tblPr>
        <w:tblStyle w:val="ISDPubsTables"/>
        <w:tblW w:w="5000" w:type="pct"/>
        <w:tblLook w:val="04A0" w:firstRow="1" w:lastRow="0" w:firstColumn="1" w:lastColumn="0" w:noHBand="0" w:noVBand="1"/>
      </w:tblPr>
      <w:tblGrid>
        <w:gridCol w:w="706"/>
        <w:gridCol w:w="1415"/>
        <w:gridCol w:w="1555"/>
        <w:gridCol w:w="1473"/>
        <w:gridCol w:w="1866"/>
        <w:gridCol w:w="1878"/>
        <w:gridCol w:w="1244"/>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Year</w:t>
            </w:r>
          </w:p>
        </w:tc>
        <w:tc>
          <w:tcPr>
            <w:tcW w:w="0" w:type="auto"/>
          </w:tcPr>
          <w:p w:rsidR="00EF083D" w:rsidRDefault="00D038A1" w:rsidP="00D038A1">
            <w:r>
              <w:t>Total Dwellings</w:t>
            </w:r>
          </w:p>
        </w:tc>
        <w:tc>
          <w:tcPr>
            <w:tcW w:w="0" w:type="auto"/>
          </w:tcPr>
          <w:p w:rsidR="00EF083D" w:rsidRDefault="00D038A1" w:rsidP="00D038A1">
            <w:r>
              <w:t>Occupied Dwellings</w:t>
            </w:r>
          </w:p>
        </w:tc>
        <w:tc>
          <w:tcPr>
            <w:tcW w:w="0" w:type="auto"/>
          </w:tcPr>
          <w:p w:rsidR="00EF083D" w:rsidRDefault="00D038A1" w:rsidP="00D038A1">
            <w:r>
              <w:t>Vacant Dwellings</w:t>
            </w:r>
          </w:p>
        </w:tc>
        <w:tc>
          <w:tcPr>
            <w:tcW w:w="0" w:type="auto"/>
          </w:tcPr>
          <w:p w:rsidR="00EF083D" w:rsidRDefault="00D038A1" w:rsidP="00D038A1">
            <w:r>
              <w:t>Single Occupant Tax Discount</w:t>
            </w:r>
          </w:p>
        </w:tc>
        <w:tc>
          <w:tcPr>
            <w:tcW w:w="0" w:type="auto"/>
          </w:tcPr>
          <w:p w:rsidR="00EF083D" w:rsidRDefault="00D038A1" w:rsidP="00D038A1">
            <w:r>
              <w:t>Council Tax Exempt Dwellings</w:t>
            </w:r>
          </w:p>
        </w:tc>
        <w:tc>
          <w:tcPr>
            <w:tcW w:w="0" w:type="auto"/>
          </w:tcPr>
          <w:p w:rsidR="00EF083D" w:rsidRDefault="00D038A1" w:rsidP="00D038A1">
            <w:r>
              <w:t>Second Homes</w:t>
            </w:r>
          </w:p>
        </w:tc>
      </w:tr>
      <w:tr w:rsidR="00EF083D" w:rsidTr="00D038A1">
        <w:tc>
          <w:tcPr>
            <w:tcW w:w="0" w:type="auto"/>
          </w:tcPr>
          <w:p w:rsidR="00EF083D" w:rsidRDefault="00D038A1" w:rsidP="00D038A1">
            <w:pPr>
              <w:jc w:val="left"/>
            </w:pPr>
            <w:r>
              <w:t>2014</w:t>
            </w:r>
          </w:p>
        </w:tc>
        <w:tc>
          <w:tcPr>
            <w:tcW w:w="0" w:type="auto"/>
          </w:tcPr>
          <w:p w:rsidR="00EF083D" w:rsidRDefault="00D038A1" w:rsidP="00D038A1">
            <w:r>
              <w:t>12,883</w:t>
            </w:r>
          </w:p>
        </w:tc>
        <w:tc>
          <w:tcPr>
            <w:tcW w:w="0" w:type="auto"/>
          </w:tcPr>
          <w:p w:rsidR="00EF083D" w:rsidRDefault="00D038A1" w:rsidP="00D038A1">
            <w:r>
              <w:t>12,371</w:t>
            </w:r>
          </w:p>
        </w:tc>
        <w:tc>
          <w:tcPr>
            <w:tcW w:w="0" w:type="auto"/>
          </w:tcPr>
          <w:p w:rsidR="00EF083D" w:rsidRDefault="00D038A1" w:rsidP="00D038A1">
            <w:r>
              <w:t>475</w:t>
            </w:r>
          </w:p>
        </w:tc>
        <w:tc>
          <w:tcPr>
            <w:tcW w:w="0" w:type="auto"/>
          </w:tcPr>
          <w:p w:rsidR="00EF083D" w:rsidRDefault="00D038A1" w:rsidP="00D038A1">
            <w:r>
              <w:t>4,562</w:t>
            </w:r>
          </w:p>
        </w:tc>
        <w:tc>
          <w:tcPr>
            <w:tcW w:w="0" w:type="auto"/>
          </w:tcPr>
          <w:p w:rsidR="00EF083D" w:rsidRDefault="00D038A1" w:rsidP="00D038A1">
            <w:r>
              <w:t>89</w:t>
            </w:r>
          </w:p>
        </w:tc>
        <w:tc>
          <w:tcPr>
            <w:tcW w:w="0" w:type="auto"/>
          </w:tcPr>
          <w:p w:rsidR="00EF083D" w:rsidRDefault="00D038A1" w:rsidP="00D038A1">
            <w:r>
              <w:t>36</w:t>
            </w:r>
          </w:p>
        </w:tc>
      </w:tr>
      <w:tr w:rsidR="00EF083D" w:rsidTr="00D038A1">
        <w:tc>
          <w:tcPr>
            <w:tcW w:w="0" w:type="auto"/>
          </w:tcPr>
          <w:p w:rsidR="00EF083D" w:rsidRDefault="00D038A1" w:rsidP="00D038A1">
            <w:pPr>
              <w:jc w:val="left"/>
            </w:pPr>
            <w:r>
              <w:t>2015</w:t>
            </w:r>
          </w:p>
        </w:tc>
        <w:tc>
          <w:tcPr>
            <w:tcW w:w="0" w:type="auto"/>
          </w:tcPr>
          <w:p w:rsidR="00EF083D" w:rsidRDefault="00D038A1" w:rsidP="00D038A1">
            <w:r>
              <w:t>13,039</w:t>
            </w:r>
          </w:p>
        </w:tc>
        <w:tc>
          <w:tcPr>
            <w:tcW w:w="0" w:type="auto"/>
          </w:tcPr>
          <w:p w:rsidR="00EF083D" w:rsidRDefault="00D038A1" w:rsidP="00D038A1">
            <w:r>
              <w:t>12,527</w:t>
            </w:r>
          </w:p>
        </w:tc>
        <w:tc>
          <w:tcPr>
            <w:tcW w:w="0" w:type="auto"/>
          </w:tcPr>
          <w:p w:rsidR="00EF083D" w:rsidRDefault="00D038A1" w:rsidP="00D038A1">
            <w:r>
              <w:t>478</w:t>
            </w:r>
          </w:p>
        </w:tc>
        <w:tc>
          <w:tcPr>
            <w:tcW w:w="0" w:type="auto"/>
          </w:tcPr>
          <w:p w:rsidR="00EF083D" w:rsidRDefault="00D038A1" w:rsidP="00D038A1">
            <w:r>
              <w:t>4,612</w:t>
            </w:r>
          </w:p>
        </w:tc>
        <w:tc>
          <w:tcPr>
            <w:tcW w:w="0" w:type="auto"/>
          </w:tcPr>
          <w:p w:rsidR="00EF083D" w:rsidRDefault="00D038A1" w:rsidP="00D038A1">
            <w:r>
              <w:t>95</w:t>
            </w:r>
          </w:p>
        </w:tc>
        <w:tc>
          <w:tcPr>
            <w:tcW w:w="0" w:type="auto"/>
          </w:tcPr>
          <w:p w:rsidR="00EF083D" w:rsidRDefault="00D038A1" w:rsidP="00D038A1">
            <w:r>
              <w:t>33</w:t>
            </w:r>
          </w:p>
        </w:tc>
      </w:tr>
      <w:tr w:rsidR="00EF083D" w:rsidTr="00D038A1">
        <w:tc>
          <w:tcPr>
            <w:tcW w:w="0" w:type="auto"/>
          </w:tcPr>
          <w:p w:rsidR="00EF083D" w:rsidRDefault="00D038A1" w:rsidP="00D038A1">
            <w:pPr>
              <w:jc w:val="left"/>
            </w:pPr>
            <w:r>
              <w:t>2016</w:t>
            </w:r>
          </w:p>
        </w:tc>
        <w:tc>
          <w:tcPr>
            <w:tcW w:w="0" w:type="auto"/>
          </w:tcPr>
          <w:p w:rsidR="00EF083D" w:rsidRDefault="00D038A1" w:rsidP="00D038A1">
            <w:r>
              <w:t>13,234</w:t>
            </w:r>
          </w:p>
        </w:tc>
        <w:tc>
          <w:tcPr>
            <w:tcW w:w="0" w:type="auto"/>
          </w:tcPr>
          <w:p w:rsidR="00EF083D" w:rsidRDefault="00D038A1" w:rsidP="00D038A1">
            <w:r>
              <w:t>12,691</w:t>
            </w:r>
          </w:p>
        </w:tc>
        <w:tc>
          <w:tcPr>
            <w:tcW w:w="0" w:type="auto"/>
          </w:tcPr>
          <w:p w:rsidR="00EF083D" w:rsidRDefault="00D038A1" w:rsidP="00D038A1">
            <w:r>
              <w:t>508</w:t>
            </w:r>
          </w:p>
        </w:tc>
        <w:tc>
          <w:tcPr>
            <w:tcW w:w="0" w:type="auto"/>
          </w:tcPr>
          <w:p w:rsidR="00EF083D" w:rsidRDefault="00D038A1" w:rsidP="00D038A1">
            <w:r>
              <w:t>4,604</w:t>
            </w:r>
          </w:p>
        </w:tc>
        <w:tc>
          <w:tcPr>
            <w:tcW w:w="0" w:type="auto"/>
          </w:tcPr>
          <w:p w:rsidR="00EF083D" w:rsidRDefault="00D038A1" w:rsidP="00D038A1">
            <w:r>
              <w:t>109</w:t>
            </w:r>
          </w:p>
        </w:tc>
        <w:tc>
          <w:tcPr>
            <w:tcW w:w="0" w:type="auto"/>
          </w:tcPr>
          <w:p w:rsidR="00EF083D" w:rsidRDefault="00D038A1" w:rsidP="00D038A1">
            <w:r>
              <w:t>35</w:t>
            </w:r>
          </w:p>
        </w:tc>
      </w:tr>
      <w:tr w:rsidR="00EF083D" w:rsidTr="00D038A1">
        <w:tc>
          <w:tcPr>
            <w:tcW w:w="0" w:type="auto"/>
          </w:tcPr>
          <w:p w:rsidR="00EF083D" w:rsidRDefault="00D038A1" w:rsidP="00D038A1">
            <w:pPr>
              <w:jc w:val="left"/>
            </w:pPr>
            <w:r>
              <w:t>2017</w:t>
            </w:r>
          </w:p>
        </w:tc>
        <w:tc>
          <w:tcPr>
            <w:tcW w:w="0" w:type="auto"/>
          </w:tcPr>
          <w:p w:rsidR="00EF083D" w:rsidRDefault="00D038A1" w:rsidP="00D038A1">
            <w:r>
              <w:t>13,421</w:t>
            </w:r>
          </w:p>
        </w:tc>
        <w:tc>
          <w:tcPr>
            <w:tcW w:w="0" w:type="auto"/>
          </w:tcPr>
          <w:p w:rsidR="00EF083D" w:rsidRDefault="00D038A1" w:rsidP="00D038A1">
            <w:r>
              <w:t>12,832</w:t>
            </w:r>
          </w:p>
        </w:tc>
        <w:tc>
          <w:tcPr>
            <w:tcW w:w="0" w:type="auto"/>
          </w:tcPr>
          <w:p w:rsidR="00EF083D" w:rsidRDefault="00D038A1" w:rsidP="00D038A1">
            <w:r>
              <w:t>550</w:t>
            </w:r>
          </w:p>
        </w:tc>
        <w:tc>
          <w:tcPr>
            <w:tcW w:w="0" w:type="auto"/>
          </w:tcPr>
          <w:p w:rsidR="00EF083D" w:rsidRDefault="00D038A1" w:rsidP="00D038A1">
            <w:r>
              <w:t>4,665</w:t>
            </w:r>
          </w:p>
        </w:tc>
        <w:tc>
          <w:tcPr>
            <w:tcW w:w="0" w:type="auto"/>
          </w:tcPr>
          <w:p w:rsidR="00EF083D" w:rsidRDefault="00D038A1" w:rsidP="00D038A1">
            <w:r>
              <w:t>101</w:t>
            </w:r>
          </w:p>
        </w:tc>
        <w:tc>
          <w:tcPr>
            <w:tcW w:w="0" w:type="auto"/>
          </w:tcPr>
          <w:p w:rsidR="00EF083D" w:rsidRDefault="00D038A1" w:rsidP="00D038A1">
            <w:r>
              <w:t>38</w:t>
            </w:r>
          </w:p>
        </w:tc>
      </w:tr>
      <w:tr w:rsidR="00EF083D" w:rsidTr="00D038A1">
        <w:tc>
          <w:tcPr>
            <w:tcW w:w="0" w:type="auto"/>
          </w:tcPr>
          <w:p w:rsidR="00EF083D" w:rsidRDefault="00D038A1" w:rsidP="00D038A1">
            <w:pPr>
              <w:jc w:val="left"/>
            </w:pPr>
            <w:r>
              <w:t>2018</w:t>
            </w:r>
          </w:p>
        </w:tc>
        <w:tc>
          <w:tcPr>
            <w:tcW w:w="0" w:type="auto"/>
          </w:tcPr>
          <w:p w:rsidR="00EF083D" w:rsidRDefault="00D038A1" w:rsidP="00D038A1">
            <w:r>
              <w:t>13,569</w:t>
            </w:r>
          </w:p>
        </w:tc>
        <w:tc>
          <w:tcPr>
            <w:tcW w:w="0" w:type="auto"/>
          </w:tcPr>
          <w:p w:rsidR="00EF083D" w:rsidRDefault="00D038A1" w:rsidP="00D038A1">
            <w:r>
              <w:t>13,037</w:t>
            </w:r>
          </w:p>
        </w:tc>
        <w:tc>
          <w:tcPr>
            <w:tcW w:w="0" w:type="auto"/>
          </w:tcPr>
          <w:p w:rsidR="00EF083D" w:rsidRDefault="00D038A1" w:rsidP="00D038A1">
            <w:r>
              <w:t>495</w:t>
            </w:r>
          </w:p>
        </w:tc>
        <w:tc>
          <w:tcPr>
            <w:tcW w:w="0" w:type="auto"/>
          </w:tcPr>
          <w:p w:rsidR="00EF083D" w:rsidRDefault="00D038A1" w:rsidP="00D038A1">
            <w:r>
              <w:t>4,696</w:t>
            </w:r>
          </w:p>
        </w:tc>
        <w:tc>
          <w:tcPr>
            <w:tcW w:w="0" w:type="auto"/>
          </w:tcPr>
          <w:p w:rsidR="00EF083D" w:rsidRDefault="00D038A1" w:rsidP="00D038A1">
            <w:r>
              <w:t>113</w:t>
            </w:r>
          </w:p>
        </w:tc>
        <w:tc>
          <w:tcPr>
            <w:tcW w:w="0" w:type="auto"/>
          </w:tcPr>
          <w:p w:rsidR="00EF083D" w:rsidRDefault="00D038A1" w:rsidP="00D038A1">
            <w:r>
              <w:t>33</w:t>
            </w:r>
          </w:p>
        </w:tc>
      </w:tr>
      <w:tr w:rsidR="00EF083D" w:rsidTr="00D038A1">
        <w:tc>
          <w:tcPr>
            <w:tcW w:w="0" w:type="auto"/>
          </w:tcPr>
          <w:p w:rsidR="00EF083D" w:rsidRDefault="00D038A1" w:rsidP="00D038A1">
            <w:pPr>
              <w:jc w:val="left"/>
            </w:pPr>
            <w:r>
              <w:t>2019</w:t>
            </w:r>
          </w:p>
        </w:tc>
        <w:tc>
          <w:tcPr>
            <w:tcW w:w="0" w:type="auto"/>
          </w:tcPr>
          <w:p w:rsidR="00EF083D" w:rsidRDefault="00D038A1" w:rsidP="00D038A1">
            <w:r>
              <w:t>13,659</w:t>
            </w:r>
          </w:p>
        </w:tc>
        <w:tc>
          <w:tcPr>
            <w:tcW w:w="0" w:type="auto"/>
          </w:tcPr>
          <w:p w:rsidR="00EF083D" w:rsidRDefault="00D038A1" w:rsidP="00D038A1">
            <w:r>
              <w:t>13,158</w:t>
            </w:r>
          </w:p>
        </w:tc>
        <w:tc>
          <w:tcPr>
            <w:tcW w:w="0" w:type="auto"/>
          </w:tcPr>
          <w:p w:rsidR="00EF083D" w:rsidRDefault="00D038A1" w:rsidP="00D038A1">
            <w:r>
              <w:t>467</w:t>
            </w:r>
          </w:p>
        </w:tc>
        <w:tc>
          <w:tcPr>
            <w:tcW w:w="0" w:type="auto"/>
          </w:tcPr>
          <w:p w:rsidR="00EF083D" w:rsidRDefault="00D038A1" w:rsidP="00D038A1">
            <w:r>
              <w:t>4,714</w:t>
            </w:r>
          </w:p>
        </w:tc>
        <w:tc>
          <w:tcPr>
            <w:tcW w:w="0" w:type="auto"/>
          </w:tcPr>
          <w:p w:rsidR="00EF083D" w:rsidRDefault="00D038A1" w:rsidP="00D038A1">
            <w:r>
              <w:t>122</w:t>
            </w:r>
          </w:p>
        </w:tc>
        <w:tc>
          <w:tcPr>
            <w:tcW w:w="0" w:type="auto"/>
          </w:tcPr>
          <w:p w:rsidR="00EF083D" w:rsidRDefault="00D038A1" w:rsidP="00D038A1">
            <w:r>
              <w:t>34</w:t>
            </w:r>
          </w:p>
        </w:tc>
      </w:tr>
    </w:tbl>
    <w:p w:rsidR="00EF083D" w:rsidRDefault="00EF083D"/>
    <w:p w:rsidR="00EF083D" w:rsidRDefault="00D038A1">
      <w:r>
        <w:t>The proportion of households within each council tax band are displayed in the chart below, figures are shown in Table 3.</w:t>
      </w:r>
    </w:p>
    <w:p w:rsidR="00EF083D" w:rsidRDefault="00D038A1">
      <w:pPr>
        <w:pStyle w:val="Heading4"/>
      </w:pPr>
      <w:bookmarkStart w:id="48" w:name="figure-8-breakdown-of-households-by-coun"/>
      <w:bookmarkStart w:id="49" w:name="_Toc48134795"/>
      <w:bookmarkEnd w:id="48"/>
      <w:r>
        <w:t>Figure 8: Breakdown of households by council tax band for Northern in 2019.</w:t>
      </w:r>
      <w:bookmarkEnd w:id="49"/>
    </w:p>
    <w:p w:rsidR="00EF083D" w:rsidRDefault="00EF083D"/>
    <w:p w:rsidR="00EF083D" w:rsidRDefault="00D038A1">
      <w:r>
        <w:rPr>
          <w:noProof/>
          <w:lang w:eastAsia="en-GB"/>
        </w:rPr>
        <w:drawing>
          <wp:inline distT="0" distB="0" distL="0" distR="0">
            <wp:extent cx="6299200" cy="1799771"/>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0-1.png"/>
                    <pic:cNvPicPr>
                      <a:picLocks noChangeAspect="1" noChangeArrowheads="1"/>
                    </pic:cNvPicPr>
                  </pic:nvPicPr>
                  <pic:blipFill>
                    <a:blip r:embed="rId21"/>
                    <a:stretch>
                      <a:fillRect/>
                    </a:stretch>
                  </pic:blipFill>
                  <pic:spPr bwMode="auto">
                    <a:xfrm>
                      <a:off x="0" y="0"/>
                      <a:ext cx="6299200" cy="1799771"/>
                    </a:xfrm>
                    <a:prstGeom prst="rect">
                      <a:avLst/>
                    </a:prstGeom>
                    <a:noFill/>
                    <a:ln w="9525">
                      <a:noFill/>
                      <a:headEnd/>
                      <a:tailEnd/>
                    </a:ln>
                  </pic:spPr>
                </pic:pic>
              </a:graphicData>
            </a:graphic>
          </wp:inline>
        </w:drawing>
      </w:r>
    </w:p>
    <w:p w:rsidR="00EF083D" w:rsidRDefault="00D038A1">
      <w:pPr>
        <w:pStyle w:val="Heading4"/>
      </w:pPr>
      <w:bookmarkStart w:id="50" w:name="table-3-percentage-of-households-by-coun"/>
      <w:bookmarkStart w:id="51" w:name="_Toc48134796"/>
      <w:bookmarkEnd w:id="50"/>
      <w:r>
        <w:t>Table 3: Percentage of households by council tax band f</w:t>
      </w:r>
      <w:r>
        <w:t>or Northern in 2019.</w:t>
      </w:r>
      <w:bookmarkEnd w:id="51"/>
    </w:p>
    <w:p w:rsidR="00EF083D" w:rsidRDefault="00EF083D"/>
    <w:tbl>
      <w:tblPr>
        <w:tblStyle w:val="ISDPubsTables"/>
        <w:tblW w:w="5000" w:type="pct"/>
        <w:tblLook w:val="04A0" w:firstRow="1" w:lastRow="0" w:firstColumn="1" w:lastColumn="0" w:noHBand="0" w:noVBand="1"/>
      </w:tblPr>
      <w:tblGrid>
        <w:gridCol w:w="3132"/>
        <w:gridCol w:w="855"/>
        <w:gridCol w:w="856"/>
        <w:gridCol w:w="856"/>
        <w:gridCol w:w="856"/>
        <w:gridCol w:w="856"/>
        <w:gridCol w:w="856"/>
        <w:gridCol w:w="935"/>
        <w:gridCol w:w="935"/>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Tax Band</w:t>
            </w:r>
          </w:p>
        </w:tc>
        <w:tc>
          <w:tcPr>
            <w:tcW w:w="0" w:type="auto"/>
          </w:tcPr>
          <w:p w:rsidR="00EF083D" w:rsidRDefault="00D038A1" w:rsidP="00D038A1">
            <w:r>
              <w:t>A</w:t>
            </w:r>
          </w:p>
        </w:tc>
        <w:tc>
          <w:tcPr>
            <w:tcW w:w="0" w:type="auto"/>
          </w:tcPr>
          <w:p w:rsidR="00EF083D" w:rsidRDefault="00D038A1" w:rsidP="00D038A1">
            <w:r>
              <w:t>B</w:t>
            </w:r>
          </w:p>
        </w:tc>
        <w:tc>
          <w:tcPr>
            <w:tcW w:w="0" w:type="auto"/>
          </w:tcPr>
          <w:p w:rsidR="00EF083D" w:rsidRDefault="00D038A1" w:rsidP="00D038A1">
            <w:r>
              <w:t>C</w:t>
            </w:r>
          </w:p>
        </w:tc>
        <w:tc>
          <w:tcPr>
            <w:tcW w:w="0" w:type="auto"/>
          </w:tcPr>
          <w:p w:rsidR="00EF083D" w:rsidRDefault="00D038A1" w:rsidP="00D038A1">
            <w:r>
              <w:t>D</w:t>
            </w:r>
          </w:p>
        </w:tc>
        <w:tc>
          <w:tcPr>
            <w:tcW w:w="0" w:type="auto"/>
          </w:tcPr>
          <w:p w:rsidR="00EF083D" w:rsidRDefault="00D038A1" w:rsidP="00D038A1">
            <w:r>
              <w:t>E</w:t>
            </w:r>
          </w:p>
        </w:tc>
        <w:tc>
          <w:tcPr>
            <w:tcW w:w="0" w:type="auto"/>
          </w:tcPr>
          <w:p w:rsidR="00EF083D" w:rsidRDefault="00D038A1" w:rsidP="00D038A1">
            <w:r>
              <w:t>F</w:t>
            </w:r>
          </w:p>
        </w:tc>
        <w:tc>
          <w:tcPr>
            <w:tcW w:w="0" w:type="auto"/>
          </w:tcPr>
          <w:p w:rsidR="00EF083D" w:rsidRDefault="00D038A1" w:rsidP="00D038A1">
            <w:r>
              <w:t>G</w:t>
            </w:r>
          </w:p>
        </w:tc>
        <w:tc>
          <w:tcPr>
            <w:tcW w:w="0" w:type="auto"/>
          </w:tcPr>
          <w:p w:rsidR="00EF083D" w:rsidRDefault="00D038A1" w:rsidP="00D038A1">
            <w:r>
              <w:t>H</w:t>
            </w:r>
          </w:p>
        </w:tc>
      </w:tr>
      <w:tr w:rsidR="00EF083D" w:rsidTr="00D038A1">
        <w:tc>
          <w:tcPr>
            <w:tcW w:w="0" w:type="auto"/>
          </w:tcPr>
          <w:p w:rsidR="00EF083D" w:rsidRDefault="00D038A1" w:rsidP="00D038A1">
            <w:pPr>
              <w:jc w:val="left"/>
            </w:pPr>
            <w:r>
              <w:t>Percent of households</w:t>
            </w:r>
          </w:p>
        </w:tc>
        <w:tc>
          <w:tcPr>
            <w:tcW w:w="0" w:type="auto"/>
          </w:tcPr>
          <w:p w:rsidR="00EF083D" w:rsidRDefault="00D038A1" w:rsidP="00D038A1">
            <w:r>
              <w:t>33%</w:t>
            </w:r>
          </w:p>
        </w:tc>
        <w:tc>
          <w:tcPr>
            <w:tcW w:w="0" w:type="auto"/>
          </w:tcPr>
          <w:p w:rsidR="00EF083D" w:rsidRDefault="00D038A1" w:rsidP="00D038A1">
            <w:r>
              <w:t>13%</w:t>
            </w:r>
          </w:p>
        </w:tc>
        <w:tc>
          <w:tcPr>
            <w:tcW w:w="0" w:type="auto"/>
          </w:tcPr>
          <w:p w:rsidR="00EF083D" w:rsidRDefault="00D038A1" w:rsidP="00D038A1">
            <w:r>
              <w:t>11%</w:t>
            </w:r>
          </w:p>
        </w:tc>
        <w:tc>
          <w:tcPr>
            <w:tcW w:w="0" w:type="auto"/>
          </w:tcPr>
          <w:p w:rsidR="00EF083D" w:rsidRDefault="00D038A1" w:rsidP="00D038A1">
            <w:r>
              <w:t>12%</w:t>
            </w:r>
          </w:p>
        </w:tc>
        <w:tc>
          <w:tcPr>
            <w:tcW w:w="0" w:type="auto"/>
          </w:tcPr>
          <w:p w:rsidR="00EF083D" w:rsidRDefault="00D038A1" w:rsidP="00D038A1">
            <w:r>
              <w:t>16%</w:t>
            </w:r>
          </w:p>
        </w:tc>
        <w:tc>
          <w:tcPr>
            <w:tcW w:w="0" w:type="auto"/>
          </w:tcPr>
          <w:p w:rsidR="00EF083D" w:rsidRDefault="00D038A1" w:rsidP="00D038A1">
            <w:r>
              <w:t>10%</w:t>
            </w:r>
          </w:p>
        </w:tc>
        <w:tc>
          <w:tcPr>
            <w:tcW w:w="0" w:type="auto"/>
          </w:tcPr>
          <w:p w:rsidR="00EF083D" w:rsidRDefault="00D038A1" w:rsidP="00D038A1">
            <w:r>
              <w:t>4.1%</w:t>
            </w:r>
          </w:p>
        </w:tc>
        <w:tc>
          <w:tcPr>
            <w:tcW w:w="0" w:type="auto"/>
          </w:tcPr>
          <w:p w:rsidR="00EF083D" w:rsidRDefault="00D038A1" w:rsidP="00D038A1">
            <w:r>
              <w:t>0.2%</w:t>
            </w:r>
          </w:p>
        </w:tc>
      </w:tr>
    </w:tbl>
    <w:p w:rsidR="00EF083D" w:rsidRDefault="00D038A1">
      <w:pPr>
        <w:pStyle w:val="Heading5"/>
      </w:pPr>
      <w:bookmarkStart w:id="52" w:name="pagebreak"/>
      <w:bookmarkEnd w:id="52"/>
      <w:r>
        <w:lastRenderedPageBreak/>
        <w:t>Pagebreak</w:t>
      </w:r>
    </w:p>
    <w:p w:rsidR="00EF083D" w:rsidRDefault="00D038A1">
      <w:pPr>
        <w:pStyle w:val="Heading2"/>
      </w:pPr>
      <w:bookmarkStart w:id="53" w:name="services"/>
      <w:bookmarkStart w:id="54" w:name="_Toc48134797"/>
      <w:bookmarkEnd w:id="53"/>
      <w:r>
        <w:t>Services</w:t>
      </w:r>
      <w:bookmarkEnd w:id="54"/>
    </w:p>
    <w:p w:rsidR="00EF083D" w:rsidRDefault="00D038A1">
      <w:pPr>
        <w:pStyle w:val="Heading4"/>
      </w:pPr>
      <w:bookmarkStart w:id="55" w:name="figure-9-map-of-gp-practices-by-locality"/>
      <w:bookmarkStart w:id="56" w:name="_Toc48134798"/>
      <w:bookmarkEnd w:id="55"/>
      <w:r>
        <w:t>Figure 9: Map of GP practices by locality in East Ayrshire HSCP</w:t>
      </w:r>
      <w:r>
        <w:rPr>
          <w:vertAlign w:val="superscript"/>
        </w:rPr>
        <w:t>2</w:t>
      </w:r>
      <w:r>
        <w:t>.</w:t>
      </w:r>
      <w:bookmarkEnd w:id="56"/>
    </w:p>
    <w:p w:rsidR="00EF083D" w:rsidRDefault="00EF083D"/>
    <w:p w:rsidR="00EF083D" w:rsidRDefault="00D038A1">
      <w:r>
        <w:rPr>
          <w:noProof/>
          <w:lang w:eastAsia="en-GB"/>
        </w:rPr>
        <w:drawing>
          <wp:inline distT="0" distB="0" distL="0" distR="0">
            <wp:extent cx="6299200" cy="472440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Services/map.png"/>
                    <pic:cNvPicPr>
                      <a:picLocks noChangeAspect="1" noChangeArrowheads="1"/>
                    </pic:cNvPicPr>
                  </pic:nvPicPr>
                  <pic:blipFill>
                    <a:blip r:embed="rId22"/>
                    <a:stretch>
                      <a:fillRect/>
                    </a:stretch>
                  </pic:blipFill>
                  <pic:spPr bwMode="auto">
                    <a:xfrm>
                      <a:off x="0" y="0"/>
                      <a:ext cx="6299200" cy="4724400"/>
                    </a:xfrm>
                    <a:prstGeom prst="rect">
                      <a:avLst/>
                    </a:prstGeom>
                    <a:noFill/>
                    <a:ln w="9525">
                      <a:noFill/>
                      <a:headEnd/>
                      <a:tailEnd/>
                    </a:ln>
                  </pic:spPr>
                </pic:pic>
              </a:graphicData>
            </a:graphic>
          </wp:inline>
        </w:drawing>
      </w:r>
    </w:p>
    <w:p w:rsidR="00EF083D" w:rsidRDefault="00D038A1">
      <w:pPr>
        <w:pStyle w:val="Heading6"/>
      </w:pPr>
      <w:bookmarkStart w:id="57" w:name="ed-emergency-department-miu-minor-injuri"/>
      <w:bookmarkEnd w:id="57"/>
      <w:r>
        <w:t>ED = Emergency Department, MIU = Minor Injuries Unit (or other)</w:t>
      </w:r>
    </w:p>
    <w:p w:rsidR="00EF083D" w:rsidRDefault="00EF083D"/>
    <w:p w:rsidR="00EF083D" w:rsidRDefault="00D038A1">
      <w:pPr>
        <w:pStyle w:val="Heading4"/>
      </w:pPr>
      <w:bookmarkStart w:id="58" w:name="table-4-number-of-each-type-of-service-i"/>
      <w:bookmarkStart w:id="59" w:name="_Toc48134799"/>
      <w:bookmarkEnd w:id="58"/>
      <w:r>
        <w:t>Table 4: Number of each type of service in Northern Locality</w:t>
      </w:r>
      <w:r>
        <w:rPr>
          <w:vertAlign w:val="superscript"/>
        </w:rPr>
        <w:t>2</w:t>
      </w:r>
      <w:r>
        <w:t>.</w:t>
      </w:r>
      <w:bookmarkEnd w:id="59"/>
    </w:p>
    <w:p w:rsidR="00EF083D" w:rsidRDefault="00EF083D"/>
    <w:tbl>
      <w:tblPr>
        <w:tblStyle w:val="ISDPubsTables"/>
        <w:tblW w:w="5000" w:type="pct"/>
        <w:tblLook w:val="04A0" w:firstRow="1" w:lastRow="0" w:firstColumn="1" w:lastColumn="0" w:noHBand="0" w:noVBand="1"/>
      </w:tblPr>
      <w:tblGrid>
        <w:gridCol w:w="3108"/>
        <w:gridCol w:w="4976"/>
        <w:gridCol w:w="2053"/>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Service Type</w:t>
            </w:r>
          </w:p>
        </w:tc>
        <w:tc>
          <w:tcPr>
            <w:tcW w:w="0" w:type="auto"/>
          </w:tcPr>
          <w:p w:rsidR="00EF083D" w:rsidRDefault="00D038A1" w:rsidP="00D038A1">
            <w:pPr>
              <w:jc w:val="left"/>
            </w:pPr>
            <w:r>
              <w:t>Service</w:t>
            </w:r>
          </w:p>
        </w:tc>
        <w:tc>
          <w:tcPr>
            <w:tcW w:w="0" w:type="auto"/>
          </w:tcPr>
          <w:p w:rsidR="00EF083D" w:rsidRDefault="00D038A1" w:rsidP="00D038A1">
            <w:r>
              <w:t>Number</w:t>
            </w:r>
          </w:p>
        </w:tc>
      </w:tr>
      <w:tr w:rsidR="00EF083D" w:rsidTr="00D038A1">
        <w:tc>
          <w:tcPr>
            <w:tcW w:w="0" w:type="auto"/>
          </w:tcPr>
          <w:p w:rsidR="00EF083D" w:rsidRDefault="00D038A1" w:rsidP="00D038A1">
            <w:pPr>
              <w:jc w:val="left"/>
            </w:pPr>
            <w:r>
              <w:rPr>
                <w:b/>
              </w:rPr>
              <w:t>Primary Care</w:t>
            </w:r>
          </w:p>
        </w:tc>
        <w:tc>
          <w:tcPr>
            <w:tcW w:w="0" w:type="auto"/>
          </w:tcPr>
          <w:p w:rsidR="00EF083D" w:rsidRDefault="00D038A1" w:rsidP="00D038A1">
            <w:pPr>
              <w:jc w:val="left"/>
            </w:pPr>
            <w:r>
              <w:t>GP Practice</w:t>
            </w:r>
          </w:p>
        </w:tc>
        <w:tc>
          <w:tcPr>
            <w:tcW w:w="0" w:type="auto"/>
          </w:tcPr>
          <w:p w:rsidR="00EF083D" w:rsidRDefault="00D038A1" w:rsidP="00D038A1">
            <w:r>
              <w:t>3</w:t>
            </w:r>
          </w:p>
        </w:tc>
      </w:tr>
      <w:tr w:rsidR="00EF083D" w:rsidTr="00D038A1">
        <w:tc>
          <w:tcPr>
            <w:tcW w:w="0" w:type="auto"/>
          </w:tcPr>
          <w:p w:rsidR="00EF083D" w:rsidRDefault="00D038A1" w:rsidP="00D038A1">
            <w:pPr>
              <w:jc w:val="left"/>
            </w:pPr>
            <w:r>
              <w:rPr>
                <w:b/>
              </w:rPr>
              <w:t>A&amp;E</w:t>
            </w:r>
          </w:p>
        </w:tc>
        <w:tc>
          <w:tcPr>
            <w:tcW w:w="0" w:type="auto"/>
          </w:tcPr>
          <w:p w:rsidR="00EF083D" w:rsidRDefault="00D038A1" w:rsidP="00D038A1">
            <w:pPr>
              <w:jc w:val="left"/>
            </w:pPr>
            <w:r>
              <w:t>Emergency Department</w:t>
            </w:r>
          </w:p>
        </w:tc>
        <w:tc>
          <w:tcPr>
            <w:tcW w:w="0" w:type="auto"/>
          </w:tcPr>
          <w:p w:rsidR="00EF083D" w:rsidRDefault="00D038A1" w:rsidP="00D038A1">
            <w:r>
              <w:t>0</w:t>
            </w:r>
          </w:p>
        </w:tc>
      </w:tr>
      <w:tr w:rsidR="00EF083D" w:rsidTr="00D038A1">
        <w:tc>
          <w:tcPr>
            <w:tcW w:w="0" w:type="auto"/>
          </w:tcPr>
          <w:p w:rsidR="00EF083D" w:rsidRDefault="00EF083D" w:rsidP="00D038A1">
            <w:pPr>
              <w:jc w:val="left"/>
            </w:pPr>
          </w:p>
        </w:tc>
        <w:tc>
          <w:tcPr>
            <w:tcW w:w="0" w:type="auto"/>
          </w:tcPr>
          <w:p w:rsidR="00EF083D" w:rsidRDefault="00D038A1" w:rsidP="00D038A1">
            <w:pPr>
              <w:jc w:val="left"/>
            </w:pPr>
            <w:r>
              <w:t>Minor Injuries Unit</w:t>
            </w:r>
          </w:p>
        </w:tc>
        <w:tc>
          <w:tcPr>
            <w:tcW w:w="0" w:type="auto"/>
          </w:tcPr>
          <w:p w:rsidR="00EF083D" w:rsidRDefault="00D038A1" w:rsidP="00D038A1">
            <w:r>
              <w:t>0</w:t>
            </w:r>
          </w:p>
        </w:tc>
      </w:tr>
      <w:tr w:rsidR="00EF083D" w:rsidTr="00D038A1">
        <w:tc>
          <w:tcPr>
            <w:tcW w:w="0" w:type="auto"/>
          </w:tcPr>
          <w:p w:rsidR="00EF083D" w:rsidRDefault="00D038A1" w:rsidP="00D038A1">
            <w:pPr>
              <w:jc w:val="left"/>
            </w:pPr>
            <w:r>
              <w:rPr>
                <w:b/>
              </w:rPr>
              <w:t>Care Home</w:t>
            </w:r>
          </w:p>
        </w:tc>
        <w:tc>
          <w:tcPr>
            <w:tcW w:w="0" w:type="auto"/>
          </w:tcPr>
          <w:p w:rsidR="00EF083D" w:rsidRDefault="00D038A1" w:rsidP="00D038A1">
            <w:pPr>
              <w:jc w:val="left"/>
            </w:pPr>
            <w:r>
              <w:t>Elderly Care</w:t>
            </w:r>
          </w:p>
        </w:tc>
        <w:tc>
          <w:tcPr>
            <w:tcW w:w="0" w:type="auto"/>
          </w:tcPr>
          <w:p w:rsidR="00EF083D" w:rsidRDefault="00D038A1" w:rsidP="00D038A1">
            <w:r>
              <w:t>4</w:t>
            </w:r>
          </w:p>
        </w:tc>
      </w:tr>
      <w:tr w:rsidR="00EF083D" w:rsidTr="00D038A1">
        <w:tc>
          <w:tcPr>
            <w:tcW w:w="0" w:type="auto"/>
          </w:tcPr>
          <w:p w:rsidR="00EF083D" w:rsidRDefault="00EF083D" w:rsidP="00D038A1">
            <w:pPr>
              <w:jc w:val="left"/>
            </w:pPr>
          </w:p>
        </w:tc>
        <w:tc>
          <w:tcPr>
            <w:tcW w:w="0" w:type="auto"/>
          </w:tcPr>
          <w:p w:rsidR="00EF083D" w:rsidRDefault="00D038A1" w:rsidP="00D038A1">
            <w:pPr>
              <w:jc w:val="left"/>
            </w:pPr>
            <w:r>
              <w:t>Other</w:t>
            </w:r>
          </w:p>
        </w:tc>
        <w:tc>
          <w:tcPr>
            <w:tcW w:w="0" w:type="auto"/>
          </w:tcPr>
          <w:p w:rsidR="00EF083D" w:rsidRDefault="00D038A1" w:rsidP="00D038A1">
            <w:r>
              <w:t>4</w:t>
            </w:r>
          </w:p>
        </w:tc>
      </w:tr>
    </w:tbl>
    <w:p w:rsidR="00EF083D" w:rsidRDefault="00D038A1">
      <w:pPr>
        <w:pStyle w:val="Heading5"/>
      </w:pPr>
      <w:bookmarkStart w:id="60" w:name="pagebreak-1"/>
      <w:bookmarkEnd w:id="60"/>
      <w:r>
        <w:lastRenderedPageBreak/>
        <w:t>Pagebreak</w:t>
      </w:r>
    </w:p>
    <w:p w:rsidR="00EF083D" w:rsidRDefault="00D038A1">
      <w:pPr>
        <w:pStyle w:val="Heading2"/>
      </w:pPr>
      <w:bookmarkStart w:id="61" w:name="general-health"/>
      <w:bookmarkStart w:id="62" w:name="_Toc48134800"/>
      <w:bookmarkEnd w:id="61"/>
      <w:r>
        <w:t>General Health</w:t>
      </w:r>
      <w:bookmarkEnd w:id="62"/>
    </w:p>
    <w:p w:rsidR="00EF083D" w:rsidRDefault="00D038A1">
      <w:pPr>
        <w:pStyle w:val="Heading3"/>
      </w:pPr>
      <w:bookmarkStart w:id="63" w:name="summary-2"/>
      <w:bookmarkStart w:id="64" w:name="_Toc48134801"/>
      <w:bookmarkEnd w:id="63"/>
      <w:r>
        <w:t>Summary:</w:t>
      </w:r>
      <w:bookmarkEnd w:id="64"/>
    </w:p>
    <w:p w:rsidR="00EF083D" w:rsidRDefault="00EF083D"/>
    <w:p w:rsidR="00EF083D" w:rsidRDefault="00D038A1">
      <w:r>
        <w:rPr>
          <w:b/>
        </w:rPr>
        <w:t>For the most recent time periods available</w:t>
      </w:r>
      <w:r>
        <w:rPr>
          <w:b/>
          <w:vertAlign w:val="superscript"/>
        </w:rPr>
        <w:t>3</w:t>
      </w:r>
      <w:r>
        <w:rPr>
          <w:b/>
        </w:rPr>
        <w:t>, Northern Locality had:</w:t>
      </w:r>
    </w:p>
    <w:p w:rsidR="00EF083D" w:rsidRDefault="00D038A1">
      <w:pPr>
        <w:numPr>
          <w:ilvl w:val="0"/>
          <w:numId w:val="6"/>
        </w:numPr>
      </w:pPr>
      <w:r>
        <w:t xml:space="preserve">An average life expectancy of </w:t>
      </w:r>
      <w:r>
        <w:rPr>
          <w:b/>
        </w:rPr>
        <w:t>77.9</w:t>
      </w:r>
      <w:r>
        <w:t xml:space="preserve"> years for males and </w:t>
      </w:r>
      <w:r>
        <w:rPr>
          <w:b/>
        </w:rPr>
        <w:t>81.8</w:t>
      </w:r>
      <w:r>
        <w:t xml:space="preserve"> years for females.</w:t>
      </w:r>
    </w:p>
    <w:p w:rsidR="00EF083D" w:rsidRDefault="00D038A1">
      <w:pPr>
        <w:numPr>
          <w:ilvl w:val="0"/>
          <w:numId w:val="6"/>
        </w:numPr>
      </w:pPr>
      <w:r>
        <w:t xml:space="preserve">A death rate for ages 15 to 44 of </w:t>
      </w:r>
      <w:r>
        <w:rPr>
          <w:b/>
        </w:rPr>
        <w:t>102</w:t>
      </w:r>
      <w:r>
        <w:t xml:space="preserve"> deaths per 100,000 age-sex standardised population</w:t>
      </w:r>
      <w:r>
        <w:rPr>
          <w:vertAlign w:val="superscript"/>
        </w:rPr>
        <w:t>4</w:t>
      </w:r>
      <w:r>
        <w:t>.</w:t>
      </w:r>
    </w:p>
    <w:p w:rsidR="00EF083D" w:rsidRDefault="00D038A1">
      <w:pPr>
        <w:numPr>
          <w:ilvl w:val="0"/>
          <w:numId w:val="6"/>
        </w:numPr>
      </w:pPr>
      <w:r>
        <w:rPr>
          <w:b/>
        </w:rPr>
        <w:t>25%</w:t>
      </w:r>
      <w:r>
        <w:t xml:space="preserve"> </w:t>
      </w:r>
      <w:r>
        <w:t>of the locality's population with at least one long-term physical health condition.</w:t>
      </w:r>
    </w:p>
    <w:p w:rsidR="00EF083D" w:rsidRDefault="00D038A1">
      <w:pPr>
        <w:numPr>
          <w:ilvl w:val="0"/>
          <w:numId w:val="6"/>
        </w:numPr>
      </w:pPr>
      <w:r>
        <w:t xml:space="preserve">A cancer registration rate of </w:t>
      </w:r>
      <w:r>
        <w:rPr>
          <w:b/>
        </w:rPr>
        <w:t>564</w:t>
      </w:r>
      <w:r>
        <w:t xml:space="preserve"> registrations per 100,000 age-sex standardised population</w:t>
      </w:r>
      <w:r>
        <w:rPr>
          <w:vertAlign w:val="superscript"/>
        </w:rPr>
        <w:t>4</w:t>
      </w:r>
    </w:p>
    <w:p w:rsidR="00EF083D" w:rsidRDefault="00D038A1">
      <w:pPr>
        <w:numPr>
          <w:ilvl w:val="0"/>
          <w:numId w:val="6"/>
        </w:numPr>
      </w:pPr>
      <w:r>
        <w:rPr>
          <w:b/>
        </w:rPr>
        <w:t>18%</w:t>
      </w:r>
      <w:r>
        <w:t xml:space="preserve"> of the population being prescribed medication for anxiety, depression, or p</w:t>
      </w:r>
      <w:r>
        <w:t>sychosis.</w:t>
      </w:r>
    </w:p>
    <w:p w:rsidR="00EF083D" w:rsidRDefault="00EF083D"/>
    <w:p w:rsidR="00EF083D" w:rsidRDefault="00D038A1">
      <w:pPr>
        <w:pStyle w:val="Heading3"/>
      </w:pPr>
      <w:bookmarkStart w:id="65" w:name="life-expectancy"/>
      <w:bookmarkStart w:id="66" w:name="_Toc48134802"/>
      <w:bookmarkEnd w:id="65"/>
      <w:r>
        <w:t>Life Expectancy</w:t>
      </w:r>
      <w:bookmarkEnd w:id="66"/>
    </w:p>
    <w:p w:rsidR="00EF083D" w:rsidRDefault="00D038A1">
      <w:r>
        <w:t xml:space="preserve">In the latest time period available from 2014-2018 (5 year aggregate), the average life expectancy in Northern locality was </w:t>
      </w:r>
      <w:r>
        <w:rPr>
          <w:b/>
        </w:rPr>
        <w:t>77.9</w:t>
      </w:r>
      <w:r>
        <w:t xml:space="preserve"> years old for men, and </w:t>
      </w:r>
      <w:r>
        <w:rPr>
          <w:b/>
        </w:rPr>
        <w:t>81.8</w:t>
      </w:r>
      <w:r>
        <w:t xml:space="preserve"> years old for women. A time trend since 2008-2012 can be seen in figure </w:t>
      </w:r>
      <w:r>
        <w:t>10.</w:t>
      </w:r>
    </w:p>
    <w:p w:rsidR="00EF083D" w:rsidRDefault="00D038A1">
      <w:pPr>
        <w:pStyle w:val="Heading4"/>
      </w:pPr>
      <w:bookmarkStart w:id="67" w:name="figure-10-average-life-expectancy-in-men"/>
      <w:bookmarkStart w:id="68" w:name="_Toc48134803"/>
      <w:bookmarkEnd w:id="67"/>
      <w:r>
        <w:t>Figure 10: Average life expectancy in men and women over time.</w:t>
      </w:r>
      <w:bookmarkEnd w:id="68"/>
    </w:p>
    <w:p w:rsidR="00EF083D" w:rsidRDefault="00EF083D"/>
    <w:p w:rsidR="00EF083D" w:rsidRDefault="00D038A1">
      <w:r>
        <w:rPr>
          <w:noProof/>
          <w:lang w:eastAsia="en-GB"/>
        </w:rPr>
        <w:drawing>
          <wp:inline distT="0" distB="0" distL="0" distR="0">
            <wp:extent cx="5544151" cy="3234088"/>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4-1.png"/>
                    <pic:cNvPicPr>
                      <a:picLocks noChangeAspect="1" noChangeArrowheads="1"/>
                    </pic:cNvPicPr>
                  </pic:nvPicPr>
                  <pic:blipFill>
                    <a:blip r:embed="rId23"/>
                    <a:stretch>
                      <a:fillRect/>
                    </a:stretch>
                  </pic:blipFill>
                  <pic:spPr bwMode="auto">
                    <a:xfrm>
                      <a:off x="0" y="0"/>
                      <a:ext cx="5544151" cy="3234088"/>
                    </a:xfrm>
                    <a:prstGeom prst="rect">
                      <a:avLst/>
                    </a:prstGeom>
                    <a:noFill/>
                    <a:ln w="9525">
                      <a:noFill/>
                      <a:headEnd/>
                      <a:tailEnd/>
                    </a:ln>
                  </pic:spPr>
                </pic:pic>
              </a:graphicData>
            </a:graphic>
          </wp:inline>
        </w:drawing>
      </w:r>
    </w:p>
    <w:p w:rsidR="00EF083D" w:rsidRDefault="00D038A1">
      <w:pPr>
        <w:pStyle w:val="Heading5"/>
      </w:pPr>
      <w:bookmarkStart w:id="69" w:name="page-break-6"/>
      <w:bookmarkEnd w:id="69"/>
      <w:r>
        <w:lastRenderedPageBreak/>
        <w:t>Page break</w:t>
      </w:r>
    </w:p>
    <w:p w:rsidR="00EF083D" w:rsidRDefault="00D038A1">
      <w:r>
        <w:t>Table 5 provides the average life expectancy for men and women in different areas for the latest time period available. Please note that these are 5 year aggregates for the lo</w:t>
      </w:r>
      <w:r>
        <w:t>cality from 2014-2018, but 3 year aggregates from 2016-2018 at partnership, Health Board, and Scotland level.</w:t>
      </w:r>
    </w:p>
    <w:p w:rsidR="00EF083D" w:rsidRDefault="00D038A1">
      <w:pPr>
        <w:pStyle w:val="Heading4"/>
      </w:pPr>
      <w:bookmarkStart w:id="70" w:name="table-5-average-life-expectancy-in-years"/>
      <w:bookmarkStart w:id="71" w:name="_Toc48134804"/>
      <w:bookmarkEnd w:id="70"/>
      <w:r>
        <w:t>Table 5: Average life expectancy in years for the latest time periods (2014-2018 aggregated years for the locality; 2016-2018 aggregated years for other areas).</w:t>
      </w:r>
      <w:bookmarkEnd w:id="71"/>
    </w:p>
    <w:p w:rsidR="00EF083D" w:rsidRDefault="00EF083D"/>
    <w:p w:rsidR="00EF083D" w:rsidRDefault="00D038A1">
      <w:r>
        <w:rPr>
          <w:noProof/>
          <w:lang w:eastAsia="en-GB"/>
        </w:rPr>
        <w:drawing>
          <wp:inline distT="0" distB="0" distL="0" distR="0">
            <wp:extent cx="5082138" cy="1386037"/>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6-1.png"/>
                    <pic:cNvPicPr>
                      <a:picLocks noChangeAspect="1" noChangeArrowheads="1"/>
                    </pic:cNvPicPr>
                  </pic:nvPicPr>
                  <pic:blipFill>
                    <a:blip r:embed="rId24"/>
                    <a:stretch>
                      <a:fillRect/>
                    </a:stretch>
                  </pic:blipFill>
                  <pic:spPr bwMode="auto">
                    <a:xfrm>
                      <a:off x="0" y="0"/>
                      <a:ext cx="5082138" cy="1386037"/>
                    </a:xfrm>
                    <a:prstGeom prst="rect">
                      <a:avLst/>
                    </a:prstGeom>
                    <a:noFill/>
                    <a:ln w="9525">
                      <a:noFill/>
                      <a:headEnd/>
                      <a:tailEnd/>
                    </a:ln>
                  </pic:spPr>
                </pic:pic>
              </a:graphicData>
            </a:graphic>
          </wp:inline>
        </w:drawing>
      </w:r>
    </w:p>
    <w:p w:rsidR="00EF083D" w:rsidRDefault="00D038A1">
      <w:pPr>
        <w:pStyle w:val="Heading6"/>
      </w:pPr>
      <w:bookmarkStart w:id="72" w:name="where-locality-northern-partnership-east"/>
      <w:bookmarkEnd w:id="72"/>
      <w:r>
        <w:t>Where Locality = Northern, Partnership = East Ayrshire HSCP, Health Board = NHS Ayrshire &amp; A</w:t>
      </w:r>
      <w:r>
        <w:t>rran.</w:t>
      </w:r>
    </w:p>
    <w:p w:rsidR="00EF083D" w:rsidRDefault="00D038A1">
      <w:pPr>
        <w:pStyle w:val="Heading5"/>
      </w:pPr>
      <w:bookmarkStart w:id="73" w:name="page-break-7"/>
      <w:bookmarkEnd w:id="73"/>
      <w:r>
        <w:lastRenderedPageBreak/>
        <w:t>Page break</w:t>
      </w:r>
    </w:p>
    <w:p w:rsidR="00EF083D" w:rsidRDefault="00D038A1">
      <w:pPr>
        <w:pStyle w:val="Heading3"/>
      </w:pPr>
      <w:bookmarkStart w:id="74" w:name="deaths-aged-15-44"/>
      <w:bookmarkStart w:id="75" w:name="_Toc48134805"/>
      <w:bookmarkEnd w:id="74"/>
      <w:r>
        <w:t>Deaths, aged 15-44</w:t>
      </w:r>
      <w:bookmarkEnd w:id="75"/>
    </w:p>
    <w:p w:rsidR="00EF083D" w:rsidRDefault="00D038A1">
      <w:r>
        <w:t>The following chart shows a trend of death rates among 15-44 year olds per 100,000 age-sex standardised population</w:t>
      </w:r>
      <w:r>
        <w:rPr>
          <w:vertAlign w:val="superscript"/>
        </w:rPr>
        <w:t>4</w:t>
      </w:r>
      <w:r>
        <w:t xml:space="preserve"> by area (i.e. Early mortality rate per 100,000). In the most recent aggregate time period available (fro</w:t>
      </w:r>
      <w:r>
        <w:t xml:space="preserve">m 2016-2018), the mortality rate in Northern locality was </w:t>
      </w:r>
      <w:r>
        <w:rPr>
          <w:b/>
        </w:rPr>
        <w:t>102</w:t>
      </w:r>
      <w:r>
        <w:t xml:space="preserve"> deaths per 100,000 population. Figure 12 then provides comparisons of deaths for all localities in East Ayrshire HSCP, for the two latest time aggregates available.</w:t>
      </w:r>
    </w:p>
    <w:p w:rsidR="00EF083D" w:rsidRDefault="00D038A1">
      <w:pPr>
        <w:pStyle w:val="Heading4"/>
      </w:pPr>
      <w:bookmarkStart w:id="76" w:name="figure-11-deaths-aged-15-44-years-by-geo"/>
      <w:bookmarkStart w:id="77" w:name="_Toc48134806"/>
      <w:bookmarkEnd w:id="76"/>
      <w:r>
        <w:t xml:space="preserve">Figure 11: Deaths aged 15-44 </w:t>
      </w:r>
      <w:r>
        <w:t>years by geographical area and over time.</w:t>
      </w:r>
      <w:bookmarkEnd w:id="77"/>
    </w:p>
    <w:p w:rsidR="00EF083D" w:rsidRDefault="00EF083D"/>
    <w:p w:rsidR="00EF083D" w:rsidRDefault="00D038A1">
      <w:r>
        <w:rPr>
          <w:noProof/>
          <w:lang w:eastAsia="en-GB"/>
        </w:rPr>
        <w:drawing>
          <wp:inline distT="0" distB="0" distL="0" distR="0">
            <wp:extent cx="6299200" cy="31496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7-1.png"/>
                    <pic:cNvPicPr>
                      <a:picLocks noChangeAspect="1" noChangeArrowheads="1"/>
                    </pic:cNvPicPr>
                  </pic:nvPicPr>
                  <pic:blipFill>
                    <a:blip r:embed="rId25"/>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pPr>
        <w:pStyle w:val="Heading4"/>
      </w:pPr>
      <w:bookmarkStart w:id="78" w:name="figure-12-deaths-at-ages-15-44-in-east-a"/>
      <w:bookmarkStart w:id="79" w:name="_Toc48134807"/>
      <w:bookmarkEnd w:id="78"/>
      <w:r>
        <w:t>Figure 12: Deaths at ages 15-44 in East Ayrshire HSCP localities.</w:t>
      </w:r>
      <w:bookmarkEnd w:id="79"/>
    </w:p>
    <w:p w:rsidR="00EF083D" w:rsidRDefault="00EF083D"/>
    <w:p w:rsidR="00EF083D" w:rsidRDefault="00D038A1">
      <w:r>
        <w:rPr>
          <w:noProof/>
          <w:lang w:eastAsia="en-GB"/>
        </w:rPr>
        <w:drawing>
          <wp:inline distT="0" distB="0" distL="0" distR="0">
            <wp:extent cx="6299200" cy="314960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8-1.png"/>
                    <pic:cNvPicPr>
                      <a:picLocks noChangeAspect="1" noChangeArrowheads="1"/>
                    </pic:cNvPicPr>
                  </pic:nvPicPr>
                  <pic:blipFill>
                    <a:blip r:embed="rId26"/>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pPr>
        <w:pStyle w:val="Heading5"/>
      </w:pPr>
      <w:bookmarkStart w:id="80" w:name="page-break-8"/>
      <w:bookmarkEnd w:id="80"/>
      <w:r>
        <w:lastRenderedPageBreak/>
        <w:t>Page break</w:t>
      </w:r>
    </w:p>
    <w:p w:rsidR="00EF083D" w:rsidRDefault="00D038A1">
      <w:pPr>
        <w:pStyle w:val="Heading3"/>
      </w:pPr>
      <w:bookmarkStart w:id="81" w:name="long-term-physical-health-conditions-and"/>
      <w:bookmarkStart w:id="82" w:name="_Toc48134808"/>
      <w:bookmarkEnd w:id="81"/>
      <w:r>
        <w:t>Long-Term Physical Health Conditions and Multimorbidity</w:t>
      </w:r>
      <w:bookmarkEnd w:id="82"/>
    </w:p>
    <w:p w:rsidR="00EF083D" w:rsidRDefault="00EF083D"/>
    <w:p w:rsidR="00EF083D" w:rsidRDefault="00D038A1">
      <w:r>
        <w:t xml:space="preserve">In the financial year 2018/19, in Northern Locality, </w:t>
      </w:r>
      <w:r>
        <w:rPr>
          <w:b/>
        </w:rPr>
        <w:t>25%</w:t>
      </w:r>
      <w:r>
        <w:t xml:space="preserve"> of the total popu</w:t>
      </w:r>
      <w:r>
        <w:t>lation had at least one physical long-term condition (LTC). These include: cardiovascular, neurodegenerative, and respiratory conditions, as well as other organ conditions (namely liver disease and renal failure), arthritis, cancer, diabetes, and epilepsy.</w:t>
      </w:r>
      <w:r>
        <w:t xml:space="preserve"> </w:t>
      </w:r>
      <w:r>
        <w:rPr>
          <w:i/>
        </w:rPr>
        <w:t>Please see footnotes for information and caveats on identifying LTCs.</w:t>
      </w:r>
      <w:r>
        <w:rPr>
          <w:i/>
          <w:vertAlign w:val="superscript"/>
        </w:rPr>
        <w:t>5</w:t>
      </w:r>
    </w:p>
    <w:p w:rsidR="00EF083D" w:rsidRDefault="00D038A1">
      <w:r>
        <w:rPr>
          <w:noProof/>
          <w:lang w:eastAsia="en-GB"/>
        </w:rPr>
        <w:drawing>
          <wp:inline distT="0" distB="0" distL="0" distR="0">
            <wp:extent cx="6299200" cy="2939626"/>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19-1.png"/>
                    <pic:cNvPicPr>
                      <a:picLocks noChangeAspect="1" noChangeArrowheads="1"/>
                    </pic:cNvPicPr>
                  </pic:nvPicPr>
                  <pic:blipFill>
                    <a:blip r:embed="rId27"/>
                    <a:stretch>
                      <a:fillRect/>
                    </a:stretch>
                  </pic:blipFill>
                  <pic:spPr bwMode="auto">
                    <a:xfrm>
                      <a:off x="0" y="0"/>
                      <a:ext cx="6299200" cy="2939626"/>
                    </a:xfrm>
                    <a:prstGeom prst="rect">
                      <a:avLst/>
                    </a:prstGeom>
                    <a:noFill/>
                    <a:ln w="9525">
                      <a:noFill/>
                      <a:headEnd/>
                      <a:tailEnd/>
                    </a:ln>
                  </pic:spPr>
                </pic:pic>
              </a:graphicData>
            </a:graphic>
          </wp:inline>
        </w:drawing>
      </w:r>
    </w:p>
    <w:p w:rsidR="00EF083D" w:rsidRDefault="00D038A1">
      <w:r>
        <w:t xml:space="preserve">The co-occurrence of two or more conditions, known as multimorbidity, is broken down in figure 13, distinguishing between age groups. Note that this chart </w:t>
      </w:r>
      <w:r>
        <w:rPr>
          <w:i/>
        </w:rPr>
        <w:t>excludes</w:t>
      </w:r>
      <w:r>
        <w:t xml:space="preserve"> the population in </w:t>
      </w:r>
      <w:r>
        <w:t xml:space="preserve">the locality who do not have any physical long-term conditions. Figure 13 therefore shows that among the people who have a LTC, </w:t>
      </w:r>
      <w:r>
        <w:rPr>
          <w:b/>
        </w:rPr>
        <w:t>21</w:t>
      </w:r>
      <w:r>
        <w:t xml:space="preserve">% of those under the age of 65 have more than one, compared to </w:t>
      </w:r>
      <w:r>
        <w:rPr>
          <w:b/>
        </w:rPr>
        <w:t>54</w:t>
      </w:r>
      <w:r>
        <w:t>% of those aged over 65.</w:t>
      </w:r>
    </w:p>
    <w:p w:rsidR="00EF083D" w:rsidRDefault="00D038A1">
      <w:pPr>
        <w:pStyle w:val="Heading4"/>
      </w:pPr>
      <w:bookmarkStart w:id="83" w:name="figure-13-multimorbidity-of-physical-lon"/>
      <w:bookmarkStart w:id="84" w:name="_Toc48134809"/>
      <w:bookmarkEnd w:id="83"/>
      <w:r>
        <w:t>Figure 13: Multimorbidity of physica</w:t>
      </w:r>
      <w:r>
        <w:t>l long-term conditions by age group in 2018/19.</w:t>
      </w:r>
      <w:bookmarkEnd w:id="84"/>
    </w:p>
    <w:p w:rsidR="00EF083D" w:rsidRDefault="00EF083D"/>
    <w:p w:rsidR="00EF083D" w:rsidRDefault="00D038A1">
      <w:r>
        <w:rPr>
          <w:noProof/>
          <w:lang w:eastAsia="en-GB"/>
        </w:rPr>
        <w:drawing>
          <wp:inline distT="0" distB="0" distL="0" distR="0">
            <wp:extent cx="6299200" cy="251218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0-1.png"/>
                    <pic:cNvPicPr>
                      <a:picLocks noChangeAspect="1" noChangeArrowheads="1"/>
                    </pic:cNvPicPr>
                  </pic:nvPicPr>
                  <pic:blipFill>
                    <a:blip r:embed="rId28"/>
                    <a:stretch>
                      <a:fillRect/>
                    </a:stretch>
                  </pic:blipFill>
                  <pic:spPr bwMode="auto">
                    <a:xfrm>
                      <a:off x="0" y="0"/>
                      <a:ext cx="6299200" cy="2512180"/>
                    </a:xfrm>
                    <a:prstGeom prst="rect">
                      <a:avLst/>
                    </a:prstGeom>
                    <a:noFill/>
                    <a:ln w="9525">
                      <a:noFill/>
                      <a:headEnd/>
                      <a:tailEnd/>
                    </a:ln>
                  </pic:spPr>
                </pic:pic>
              </a:graphicData>
            </a:graphic>
          </wp:inline>
        </w:drawing>
      </w:r>
    </w:p>
    <w:p w:rsidR="00EF083D" w:rsidRDefault="00D038A1">
      <w:pPr>
        <w:pStyle w:val="Heading5"/>
      </w:pPr>
      <w:bookmarkStart w:id="85" w:name="page-break-9"/>
      <w:bookmarkEnd w:id="85"/>
      <w:r>
        <w:lastRenderedPageBreak/>
        <w:t>Page break</w:t>
      </w:r>
    </w:p>
    <w:p w:rsidR="00EF083D" w:rsidRDefault="00D038A1">
      <w:r>
        <w:rPr>
          <w:b/>
        </w:rPr>
        <w:t>Most common physical Long-Term Conditions (LTCs)</w:t>
      </w:r>
    </w:p>
    <w:p w:rsidR="00EF083D" w:rsidRDefault="00D038A1">
      <w:r>
        <w:t>Below is a breakdown of the physical LTCs, for the financial year 2018/19. Figure 14 shows the prevalence of different LTCs in each age group in Northern locality, and Table 6 illustrates the top 5 physical LTCs across all ages at locality, partnership, an</w:t>
      </w:r>
      <w:r>
        <w:t>d Scotland level.</w:t>
      </w:r>
    </w:p>
    <w:p w:rsidR="00EF083D" w:rsidRDefault="00D038A1">
      <w:pPr>
        <w:pStyle w:val="Heading4"/>
      </w:pPr>
      <w:bookmarkStart w:id="86" w:name="figure-14-percentage-people-with-each-ph"/>
      <w:bookmarkStart w:id="87" w:name="_Toc48134810"/>
      <w:bookmarkEnd w:id="86"/>
      <w:r>
        <w:t>Figure 14: Percentage people with each physical LTC, split by age group.</w:t>
      </w:r>
      <w:bookmarkEnd w:id="87"/>
    </w:p>
    <w:p w:rsidR="00EF083D" w:rsidRDefault="00EF083D"/>
    <w:p w:rsidR="00EF083D" w:rsidRDefault="00D038A1">
      <w:r>
        <w:rPr>
          <w:noProof/>
          <w:lang w:eastAsia="en-GB"/>
        </w:rPr>
        <w:drawing>
          <wp:inline distT="0" distB="0" distL="0" distR="0">
            <wp:extent cx="6299200" cy="3412066"/>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1-1.png"/>
                    <pic:cNvPicPr>
                      <a:picLocks noChangeAspect="1" noChangeArrowheads="1"/>
                    </pic:cNvPicPr>
                  </pic:nvPicPr>
                  <pic:blipFill>
                    <a:blip r:embed="rId29"/>
                    <a:stretch>
                      <a:fillRect/>
                    </a:stretch>
                  </pic:blipFill>
                  <pic:spPr bwMode="auto">
                    <a:xfrm>
                      <a:off x="0" y="0"/>
                      <a:ext cx="6299200" cy="3412066"/>
                    </a:xfrm>
                    <a:prstGeom prst="rect">
                      <a:avLst/>
                    </a:prstGeom>
                    <a:noFill/>
                    <a:ln w="9525">
                      <a:noFill/>
                      <a:headEnd/>
                      <a:tailEnd/>
                    </a:ln>
                  </pic:spPr>
                </pic:pic>
              </a:graphicData>
            </a:graphic>
          </wp:inline>
        </w:drawing>
      </w:r>
    </w:p>
    <w:p w:rsidR="00EF083D" w:rsidRDefault="00D038A1">
      <w:pPr>
        <w:pStyle w:val="Heading6"/>
      </w:pPr>
      <w:bookmarkStart w:id="88" w:name="copd-chronic-obstructive-pulmonary-disea"/>
      <w:bookmarkEnd w:id="88"/>
      <w:r>
        <w:t>*COPD: Chronic Obstructive Pulmonary Disease</w:t>
      </w:r>
    </w:p>
    <w:p w:rsidR="00EF083D" w:rsidRDefault="00D038A1">
      <w:pPr>
        <w:pStyle w:val="Heading4"/>
      </w:pPr>
      <w:bookmarkStart w:id="89" w:name="table-6-prevalence-of-the-five-most-comm"/>
      <w:bookmarkStart w:id="90" w:name="_Toc48134811"/>
      <w:bookmarkEnd w:id="89"/>
      <w:r>
        <w:t>Table 6: Prevalence of the five most common physical LTCs as a percentage of the population across geographical areas (where 1 = most prevalent).</w:t>
      </w:r>
      <w:bookmarkEnd w:id="90"/>
    </w:p>
    <w:p w:rsidR="00EF083D" w:rsidRDefault="00EF083D"/>
    <w:p w:rsidR="00EF083D" w:rsidRDefault="00D038A1">
      <w:r>
        <w:rPr>
          <w:noProof/>
          <w:lang w:eastAsia="en-GB"/>
        </w:rPr>
        <w:drawing>
          <wp:inline distT="0" distB="0" distL="0" distR="0">
            <wp:extent cx="6299200" cy="2939626"/>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2-1.png"/>
                    <pic:cNvPicPr>
                      <a:picLocks noChangeAspect="1" noChangeArrowheads="1"/>
                    </pic:cNvPicPr>
                  </pic:nvPicPr>
                  <pic:blipFill>
                    <a:blip r:embed="rId30"/>
                    <a:stretch>
                      <a:fillRect/>
                    </a:stretch>
                  </pic:blipFill>
                  <pic:spPr bwMode="auto">
                    <a:xfrm>
                      <a:off x="0" y="0"/>
                      <a:ext cx="6299200" cy="2939626"/>
                    </a:xfrm>
                    <a:prstGeom prst="rect">
                      <a:avLst/>
                    </a:prstGeom>
                    <a:noFill/>
                    <a:ln w="9525">
                      <a:noFill/>
                      <a:headEnd/>
                      <a:tailEnd/>
                    </a:ln>
                  </pic:spPr>
                </pic:pic>
              </a:graphicData>
            </a:graphic>
          </wp:inline>
        </w:drawing>
      </w:r>
    </w:p>
    <w:p w:rsidR="00EF083D" w:rsidRDefault="00EF083D"/>
    <w:p w:rsidR="00EF083D" w:rsidRDefault="00D038A1">
      <w:pPr>
        <w:pStyle w:val="Heading3"/>
      </w:pPr>
      <w:bookmarkStart w:id="91" w:name="cancer-registrations"/>
      <w:bookmarkStart w:id="92" w:name="_Toc48134812"/>
      <w:bookmarkEnd w:id="91"/>
      <w:r>
        <w:t>Cancer Registrations</w:t>
      </w:r>
      <w:bookmarkEnd w:id="92"/>
    </w:p>
    <w:p w:rsidR="00EF083D" w:rsidRDefault="00D038A1">
      <w:r>
        <w:t>For the period 2015-2017, there were 164 new cancer registrations per year on average</w:t>
      </w:r>
      <w:r>
        <w:t xml:space="preserve"> (</w:t>
      </w:r>
      <w:r>
        <w:rPr>
          <w:b/>
        </w:rPr>
        <w:t>564</w:t>
      </w:r>
      <w:r>
        <w:t xml:space="preserve"> registrations per 100,000 age-sex standardised population) in Northern locality. This is a </w:t>
      </w:r>
      <w:r>
        <w:rPr>
          <w:b/>
        </w:rPr>
        <w:t>8.3%</w:t>
      </w:r>
      <w:r>
        <w:t xml:space="preserve"> decrease in cancer registrations rate from the previous aggregate period 2014-2016. Figure 15 shows changes over time since 2011-2013, and Figure 16 compa</w:t>
      </w:r>
      <w:r>
        <w:t>res the rates of localities in East Ayrshire HSCP for the two latest available time periods.</w:t>
      </w:r>
    </w:p>
    <w:p w:rsidR="00EF083D" w:rsidRDefault="00D038A1">
      <w:pPr>
        <w:pStyle w:val="Heading4"/>
      </w:pPr>
      <w:bookmarkStart w:id="93" w:name="figure-15-cancer-registration-rate-over-"/>
      <w:bookmarkStart w:id="94" w:name="_Toc48134813"/>
      <w:bookmarkEnd w:id="93"/>
      <w:r>
        <w:t>Figure 15: Cancer registration rate over time and by geographical area.</w:t>
      </w:r>
      <w:bookmarkEnd w:id="94"/>
    </w:p>
    <w:p w:rsidR="00EF083D" w:rsidRDefault="00EF083D"/>
    <w:p w:rsidR="00EF083D" w:rsidRDefault="00D038A1">
      <w:r>
        <w:rPr>
          <w:noProof/>
          <w:lang w:eastAsia="en-GB"/>
        </w:rPr>
        <w:drawing>
          <wp:inline distT="0" distB="0" distL="0" distR="0">
            <wp:extent cx="6299200" cy="3149600"/>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3-1.png"/>
                    <pic:cNvPicPr>
                      <a:picLocks noChangeAspect="1" noChangeArrowheads="1"/>
                    </pic:cNvPicPr>
                  </pic:nvPicPr>
                  <pic:blipFill>
                    <a:blip r:embed="rId31"/>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pPr>
        <w:pStyle w:val="Heading4"/>
      </w:pPr>
      <w:bookmarkStart w:id="95" w:name="figure-16-cancer-registration-rates-in-e"/>
      <w:bookmarkStart w:id="96" w:name="_Toc48134814"/>
      <w:bookmarkEnd w:id="95"/>
      <w:r>
        <w:t>Figure 16: Cancer registration rates in East Ayrshire HSCP localities.</w:t>
      </w:r>
      <w:bookmarkEnd w:id="96"/>
    </w:p>
    <w:p w:rsidR="00EF083D" w:rsidRDefault="00EF083D"/>
    <w:p w:rsidR="00EF083D" w:rsidRDefault="00D038A1">
      <w:r>
        <w:rPr>
          <w:noProof/>
          <w:lang w:eastAsia="en-GB"/>
        </w:rPr>
        <w:drawing>
          <wp:inline distT="0" distB="0" distL="0" distR="0">
            <wp:extent cx="6299200" cy="31496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4-1.png"/>
                    <pic:cNvPicPr>
                      <a:picLocks noChangeAspect="1" noChangeArrowheads="1"/>
                    </pic:cNvPicPr>
                  </pic:nvPicPr>
                  <pic:blipFill>
                    <a:blip r:embed="rId32"/>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pPr>
        <w:pStyle w:val="Heading5"/>
      </w:pPr>
      <w:bookmarkStart w:id="97" w:name="page-break-10"/>
      <w:bookmarkEnd w:id="97"/>
      <w:r>
        <w:lastRenderedPageBreak/>
        <w:t>Page break</w:t>
      </w:r>
    </w:p>
    <w:p w:rsidR="00EF083D" w:rsidRDefault="00D038A1">
      <w:pPr>
        <w:pStyle w:val="Heading3"/>
      </w:pPr>
      <w:bookmarkStart w:id="98" w:name="anxiety-depression-and-psychosis-prescri"/>
      <w:bookmarkStart w:id="99" w:name="_Toc48134815"/>
      <w:bookmarkEnd w:id="98"/>
      <w:r>
        <w:t>Anx</w:t>
      </w:r>
      <w:r>
        <w:t>iety, Depression, and Psychosis Prescriptions</w:t>
      </w:r>
      <w:bookmarkEnd w:id="99"/>
    </w:p>
    <w:p w:rsidR="00EF083D" w:rsidRDefault="00EF083D"/>
    <w:p w:rsidR="00EF083D" w:rsidRDefault="00D038A1">
      <w:r>
        <w:rPr>
          <w:noProof/>
          <w:lang w:eastAsia="en-GB"/>
        </w:rPr>
        <w:drawing>
          <wp:anchor distT="0" distB="0" distL="114300" distR="114300" simplePos="0" relativeHeight="251658240" behindDoc="0" locked="0" layoutInCell="1" allowOverlap="1">
            <wp:simplePos x="0" y="0"/>
            <wp:positionH relativeFrom="column">
              <wp:posOffset>2540</wp:posOffset>
            </wp:positionH>
            <wp:positionV relativeFrom="paragraph">
              <wp:posOffset>1270</wp:posOffset>
            </wp:positionV>
            <wp:extent cx="731520" cy="731520"/>
            <wp:effectExtent l="0" t="0" r="0" b="0"/>
            <wp:wrapSquare wrapText="bothSides"/>
            <wp:docPr id="2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5-1.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31520" cy="731520"/>
                    </a:xfrm>
                    <a:prstGeom prst="rect">
                      <a:avLst/>
                    </a:prstGeom>
                    <a:noFill/>
                    <a:ln w="9525">
                      <a:noFill/>
                      <a:headEnd/>
                      <a:tailEnd/>
                    </a:ln>
                  </pic:spPr>
                </pic:pic>
              </a:graphicData>
            </a:graphic>
          </wp:anchor>
        </w:drawing>
      </w:r>
      <w:r>
        <w:t xml:space="preserve"> In the 2018/19 financial year, 18% of people were prescribed medication for anxiety, depression, or psychosis (ADP) in Northern Locality. This is a 3% increase from the previous financial year.</w:t>
      </w:r>
    </w:p>
    <w:p w:rsidR="00EF083D" w:rsidRDefault="00D038A1">
      <w:pPr>
        <w:pStyle w:val="Heading4"/>
      </w:pPr>
      <w:bookmarkStart w:id="100" w:name="figure-17-percentage-population-prescrib"/>
      <w:bookmarkStart w:id="101" w:name="_Toc48134816"/>
      <w:bookmarkEnd w:id="100"/>
      <w:r>
        <w:t>Figure 17: Pe</w:t>
      </w:r>
      <w:r>
        <w:t>rcentage population prescribed ADP medication in East Ayrshire HSCP localities.</w:t>
      </w:r>
      <w:bookmarkEnd w:id="101"/>
    </w:p>
    <w:p w:rsidR="00EF083D" w:rsidRDefault="00D038A1">
      <w:r>
        <w:rPr>
          <w:noProof/>
          <w:lang w:eastAsia="en-GB"/>
        </w:rPr>
        <w:drawing>
          <wp:inline distT="0" distB="0" distL="0" distR="0">
            <wp:extent cx="6006164" cy="184805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7-1.png"/>
                    <pic:cNvPicPr>
                      <a:picLocks noChangeAspect="1" noChangeArrowheads="1"/>
                    </pic:cNvPicPr>
                  </pic:nvPicPr>
                  <pic:blipFill>
                    <a:blip r:embed="rId34"/>
                    <a:stretch>
                      <a:fillRect/>
                    </a:stretch>
                  </pic:blipFill>
                  <pic:spPr bwMode="auto">
                    <a:xfrm>
                      <a:off x="0" y="0"/>
                      <a:ext cx="6006164" cy="1848050"/>
                    </a:xfrm>
                    <a:prstGeom prst="rect">
                      <a:avLst/>
                    </a:prstGeom>
                    <a:noFill/>
                    <a:ln w="9525">
                      <a:noFill/>
                      <a:headEnd/>
                      <a:tailEnd/>
                    </a:ln>
                  </pic:spPr>
                </pic:pic>
              </a:graphicData>
            </a:graphic>
          </wp:inline>
        </w:drawing>
      </w:r>
    </w:p>
    <w:p w:rsidR="00EF083D" w:rsidRDefault="00D038A1">
      <w:pPr>
        <w:pStyle w:val="Heading4"/>
      </w:pPr>
      <w:bookmarkStart w:id="102" w:name="figure-18-adp-prescriptions-over-time-an"/>
      <w:bookmarkStart w:id="103" w:name="_Toc48134817"/>
      <w:bookmarkEnd w:id="102"/>
      <w:r>
        <w:t>Figure 18: ADP prescriptions over time and by geographical area.</w:t>
      </w:r>
      <w:bookmarkEnd w:id="103"/>
    </w:p>
    <w:p w:rsidR="00EF083D" w:rsidRDefault="00EF083D"/>
    <w:p w:rsidR="00EF083D" w:rsidRDefault="00D038A1">
      <w:r>
        <w:rPr>
          <w:noProof/>
          <w:lang w:eastAsia="en-GB"/>
        </w:rPr>
        <w:drawing>
          <wp:inline distT="0" distB="0" distL="0" distR="0">
            <wp:extent cx="6299200" cy="3327702"/>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29-1.png"/>
                    <pic:cNvPicPr>
                      <a:picLocks noChangeAspect="1" noChangeArrowheads="1"/>
                    </pic:cNvPicPr>
                  </pic:nvPicPr>
                  <pic:blipFill>
                    <a:blip r:embed="rId35"/>
                    <a:stretch>
                      <a:fillRect/>
                    </a:stretch>
                  </pic:blipFill>
                  <pic:spPr bwMode="auto">
                    <a:xfrm>
                      <a:off x="0" y="0"/>
                      <a:ext cx="6299200" cy="3327702"/>
                    </a:xfrm>
                    <a:prstGeom prst="rect">
                      <a:avLst/>
                    </a:prstGeom>
                    <a:noFill/>
                    <a:ln w="9525">
                      <a:noFill/>
                      <a:headEnd/>
                      <a:tailEnd/>
                    </a:ln>
                  </pic:spPr>
                </pic:pic>
              </a:graphicData>
            </a:graphic>
          </wp:inline>
        </w:drawing>
      </w:r>
    </w:p>
    <w:p w:rsidR="00EF083D" w:rsidRDefault="00D038A1">
      <w:pPr>
        <w:pStyle w:val="Heading5"/>
      </w:pPr>
      <w:bookmarkStart w:id="104" w:name="pagebreak-2"/>
      <w:bookmarkEnd w:id="104"/>
      <w:r>
        <w:t>Pagebreak</w:t>
      </w:r>
    </w:p>
    <w:p w:rsidR="00EF083D" w:rsidRDefault="00D038A1">
      <w:pPr>
        <w:pStyle w:val="Heading2"/>
      </w:pPr>
      <w:bookmarkStart w:id="105" w:name="lifestyle-and-risk-factors"/>
      <w:bookmarkStart w:id="106" w:name="_Toc48134818"/>
      <w:bookmarkEnd w:id="105"/>
      <w:r>
        <w:t>Lifestyle and Risk Factors</w:t>
      </w:r>
      <w:bookmarkEnd w:id="106"/>
    </w:p>
    <w:p w:rsidR="00EF083D" w:rsidRDefault="00EF083D"/>
    <w:p w:rsidR="00EF083D" w:rsidRDefault="00D038A1">
      <w:pPr>
        <w:pStyle w:val="Heading3"/>
      </w:pPr>
      <w:bookmarkStart w:id="107" w:name="summary-3"/>
      <w:bookmarkStart w:id="108" w:name="_Toc48134819"/>
      <w:bookmarkEnd w:id="107"/>
      <w:r>
        <w:t>Summary:</w:t>
      </w:r>
      <w:bookmarkEnd w:id="108"/>
    </w:p>
    <w:p w:rsidR="00EF083D" w:rsidRDefault="00EF083D"/>
    <w:p w:rsidR="00EF083D" w:rsidRDefault="00D038A1">
      <w:r>
        <w:t>Mental and physical wellbeing has close ties with people’s</w:t>
      </w:r>
      <w:r>
        <w:t xml:space="preserve"> lifestyles and behaviours. Financial security, employment and location are influences that often have a bearing on these choices. Issues can develop when alcohol, smoking or drug use shape lives. This section provides data on drug-related hospital admissi</w:t>
      </w:r>
      <w:r>
        <w:t>ons, alcohol-related hospital admissions, alcohol-specific mortality and bowel screening uptake, to give an overview of some of the lifestyles and behaviours for Northern locality. These can give an idea of quality of life and prosperity.</w:t>
      </w:r>
    </w:p>
    <w:p w:rsidR="00EF083D" w:rsidRDefault="00EF083D"/>
    <w:p w:rsidR="00EF083D" w:rsidRDefault="00D038A1">
      <w:r>
        <w:rPr>
          <w:b/>
        </w:rPr>
        <w:t>For the most recent time periods available</w:t>
      </w:r>
      <w:r>
        <w:rPr>
          <w:b/>
          <w:vertAlign w:val="superscript"/>
        </w:rPr>
        <w:t>3</w:t>
      </w:r>
      <w:r>
        <w:rPr>
          <w:b/>
        </w:rPr>
        <w:t>, Northern had:</w:t>
      </w:r>
    </w:p>
    <w:p w:rsidR="00EF083D" w:rsidRDefault="00D038A1">
      <w:pPr>
        <w:numPr>
          <w:ilvl w:val="0"/>
          <w:numId w:val="7"/>
        </w:numPr>
      </w:pPr>
      <w:r>
        <w:rPr>
          <w:b/>
        </w:rPr>
        <w:t>177</w:t>
      </w:r>
      <w:r>
        <w:t xml:space="preserve"> drug-related hospital admissions per 100,000 age-sex standardised population</w:t>
      </w:r>
      <w:r>
        <w:rPr>
          <w:vertAlign w:val="superscript"/>
        </w:rPr>
        <w:t>4</w:t>
      </w:r>
      <w:r>
        <w:t>. This is a lower rate of admissions than for Scotland (181).</w:t>
      </w:r>
    </w:p>
    <w:p w:rsidR="00EF083D" w:rsidRDefault="00D038A1">
      <w:pPr>
        <w:numPr>
          <w:ilvl w:val="0"/>
          <w:numId w:val="7"/>
        </w:numPr>
      </w:pPr>
      <w:r>
        <w:rPr>
          <w:b/>
        </w:rPr>
        <w:t>645</w:t>
      </w:r>
      <w:r>
        <w:t xml:space="preserve"> alcohol-related hospital admissions per 100,000 ag</w:t>
      </w:r>
      <w:r>
        <w:t>e-sex standardised population</w:t>
      </w:r>
      <w:r>
        <w:rPr>
          <w:vertAlign w:val="superscript"/>
        </w:rPr>
        <w:t>4</w:t>
      </w:r>
      <w:r>
        <w:t>.</w:t>
      </w:r>
    </w:p>
    <w:p w:rsidR="00EF083D" w:rsidRDefault="00D038A1">
      <w:pPr>
        <w:numPr>
          <w:ilvl w:val="0"/>
          <w:numId w:val="7"/>
        </w:numPr>
      </w:pPr>
      <w:r>
        <w:rPr>
          <w:b/>
        </w:rPr>
        <w:t>12</w:t>
      </w:r>
      <w:r>
        <w:t xml:space="preserve"> alcohol-specific mortality per 100,000 age-sex standardised population</w:t>
      </w:r>
      <w:r>
        <w:rPr>
          <w:vertAlign w:val="superscript"/>
        </w:rPr>
        <w:t>4</w:t>
      </w:r>
      <w:r>
        <w:t>.</w:t>
      </w:r>
    </w:p>
    <w:p w:rsidR="00EF083D" w:rsidRDefault="00D038A1">
      <w:pPr>
        <w:numPr>
          <w:ilvl w:val="0"/>
          <w:numId w:val="7"/>
        </w:numPr>
      </w:pPr>
      <w:r>
        <w:t xml:space="preserve">a </w:t>
      </w:r>
      <w:r>
        <w:rPr>
          <w:b/>
        </w:rPr>
        <w:t>60%</w:t>
      </w:r>
      <w:r>
        <w:t xml:space="preserve"> uptake of bowel cancer screening for the eligible population.</w:t>
      </w:r>
    </w:p>
    <w:p w:rsidR="00EF083D" w:rsidRDefault="00EF083D"/>
    <w:p w:rsidR="00EF083D" w:rsidRDefault="00D038A1">
      <w:pPr>
        <w:pStyle w:val="Heading3"/>
      </w:pPr>
      <w:bookmarkStart w:id="109" w:name="drug-related-hospital-admissions"/>
      <w:bookmarkStart w:id="110" w:name="_Toc48134820"/>
      <w:bookmarkEnd w:id="109"/>
      <w:r>
        <w:t>Drug-related Hospital Admissions</w:t>
      </w:r>
      <w:bookmarkEnd w:id="110"/>
    </w:p>
    <w:p w:rsidR="00EF083D" w:rsidRDefault="00EF083D"/>
    <w:p w:rsidR="00EF083D" w:rsidRDefault="00D038A1">
      <w:r>
        <w:rPr>
          <w:noProof/>
          <w:lang w:eastAsia="en-GB"/>
        </w:rPr>
        <w:drawing>
          <wp:anchor distT="0" distB="0" distL="114300" distR="114300" simplePos="0" relativeHeight="251659264" behindDoc="0" locked="0" layoutInCell="1" allowOverlap="1">
            <wp:simplePos x="0" y="0"/>
            <wp:positionH relativeFrom="column">
              <wp:posOffset>2540</wp:posOffset>
            </wp:positionH>
            <wp:positionV relativeFrom="paragraph">
              <wp:posOffset>-3175</wp:posOffset>
            </wp:positionV>
            <wp:extent cx="924025" cy="924025"/>
            <wp:effectExtent l="0" t="0" r="0" b="0"/>
            <wp:wrapSquare wrapText="bothSides"/>
            <wp:docPr id="2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0-1.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924025" cy="924025"/>
                    </a:xfrm>
                    <a:prstGeom prst="rect">
                      <a:avLst/>
                    </a:prstGeom>
                    <a:noFill/>
                    <a:ln w="9525">
                      <a:noFill/>
                      <a:headEnd/>
                      <a:tailEnd/>
                    </a:ln>
                  </pic:spPr>
                </pic:pic>
              </a:graphicData>
            </a:graphic>
          </wp:anchor>
        </w:drawing>
      </w:r>
      <w:r>
        <w:t xml:space="preserve"> There were 177 drug-related hospital admiss</w:t>
      </w:r>
      <w:r>
        <w:t>ions per 100,000 age-sex standardised population</w:t>
      </w:r>
      <w:r>
        <w:rPr>
          <w:vertAlign w:val="superscript"/>
        </w:rPr>
        <w:t>4</w:t>
      </w:r>
      <w:r>
        <w:t xml:space="preserve"> in Northern locality for the most recent time period available (3 year financial year aggregate for 2015/16 - 2017/18).</w:t>
      </w:r>
    </w:p>
    <w:p w:rsidR="00EF083D" w:rsidRDefault="00D038A1">
      <w:r>
        <w:t>This is a -17% decrease since 2011/12 - 2013/14 (3 financial year aggregates).</w:t>
      </w:r>
    </w:p>
    <w:p w:rsidR="00EF083D" w:rsidRDefault="00D038A1">
      <w:r>
        <w:t>A trend</w:t>
      </w:r>
      <w:r>
        <w:t xml:space="preserve"> of the change in drug-related hospital admissions for Northern locality compared with Scotland, East Ayrshire HSCP and NHS Ayrshire &amp; Arran is shown in the chart below from 2011/12 - 2013/14 onwards.</w:t>
      </w:r>
    </w:p>
    <w:p w:rsidR="00EF083D" w:rsidRDefault="00D038A1">
      <w:pPr>
        <w:pStyle w:val="Heading4"/>
      </w:pPr>
      <w:bookmarkStart w:id="111" w:name="figure-19-trend-of-drug-related-hospital"/>
      <w:bookmarkStart w:id="112" w:name="_Toc48134821"/>
      <w:bookmarkEnd w:id="111"/>
      <w:r>
        <w:t>Figure 19: Trend of Drug-related Hospital Admission Rat</w:t>
      </w:r>
      <w:r>
        <w:t>es by geographical area.</w:t>
      </w:r>
      <w:bookmarkEnd w:id="112"/>
    </w:p>
    <w:p w:rsidR="00EF083D" w:rsidRDefault="00EF083D"/>
    <w:p w:rsidR="00EF083D" w:rsidRDefault="00D038A1">
      <w:r>
        <w:rPr>
          <w:noProof/>
          <w:lang w:eastAsia="en-GB"/>
        </w:rPr>
        <w:drawing>
          <wp:inline distT="0" distB="0" distL="0" distR="0">
            <wp:extent cx="6299200" cy="3412066"/>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1-1.png"/>
                    <pic:cNvPicPr>
                      <a:picLocks noChangeAspect="1" noChangeArrowheads="1"/>
                    </pic:cNvPicPr>
                  </pic:nvPicPr>
                  <pic:blipFill>
                    <a:blip r:embed="rId37"/>
                    <a:stretch>
                      <a:fillRect/>
                    </a:stretch>
                  </pic:blipFill>
                  <pic:spPr bwMode="auto">
                    <a:xfrm>
                      <a:off x="0" y="0"/>
                      <a:ext cx="6299200" cy="3412066"/>
                    </a:xfrm>
                    <a:prstGeom prst="rect">
                      <a:avLst/>
                    </a:prstGeom>
                    <a:noFill/>
                    <a:ln w="9525">
                      <a:noFill/>
                      <a:headEnd/>
                      <a:tailEnd/>
                    </a:ln>
                  </pic:spPr>
                </pic:pic>
              </a:graphicData>
            </a:graphic>
          </wp:inline>
        </w:drawing>
      </w:r>
    </w:p>
    <w:p w:rsidR="00EF083D" w:rsidRDefault="00D038A1">
      <w:r>
        <w:t>A comparison of areas at the most recent time period (2015/16 - 2017/18 aggregated financial years) is available below. This shows Northern locality has a lower rate of admissions (177) than East Ayrshire Partnership (327), and a lower rate of admissions t</w:t>
      </w:r>
      <w:r>
        <w:t>han Scotland (181) overall.</w:t>
      </w:r>
    </w:p>
    <w:p w:rsidR="00EF083D" w:rsidRDefault="00D038A1">
      <w:pPr>
        <w:pStyle w:val="Heading4"/>
      </w:pPr>
      <w:bookmarkStart w:id="113" w:name="figure-20-comparison-of-drug-related-hos"/>
      <w:bookmarkStart w:id="114" w:name="_Toc48134822"/>
      <w:bookmarkEnd w:id="113"/>
      <w:r>
        <w:t>Figure 20: Comparison of Drug-related Hospital Admission Rates for the period 2015/16 - 2017/18.</w:t>
      </w:r>
      <w:bookmarkEnd w:id="114"/>
    </w:p>
    <w:p w:rsidR="00EF083D" w:rsidRDefault="00EF083D"/>
    <w:p w:rsidR="00EF083D" w:rsidRDefault="00D038A1">
      <w:r>
        <w:rPr>
          <w:noProof/>
          <w:lang w:eastAsia="en-GB"/>
        </w:rPr>
        <w:drawing>
          <wp:inline distT="0" distB="0" distL="0" distR="0">
            <wp:extent cx="6299200" cy="3233964"/>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3-1.png"/>
                    <pic:cNvPicPr>
                      <a:picLocks noChangeAspect="1" noChangeArrowheads="1"/>
                    </pic:cNvPicPr>
                  </pic:nvPicPr>
                  <pic:blipFill>
                    <a:blip r:embed="rId38"/>
                    <a:stretch>
                      <a:fillRect/>
                    </a:stretch>
                  </pic:blipFill>
                  <pic:spPr bwMode="auto">
                    <a:xfrm>
                      <a:off x="0" y="0"/>
                      <a:ext cx="6299200" cy="3233964"/>
                    </a:xfrm>
                    <a:prstGeom prst="rect">
                      <a:avLst/>
                    </a:prstGeom>
                    <a:noFill/>
                    <a:ln w="9525">
                      <a:noFill/>
                      <a:headEnd/>
                      <a:tailEnd/>
                    </a:ln>
                  </pic:spPr>
                </pic:pic>
              </a:graphicData>
            </a:graphic>
          </wp:inline>
        </w:drawing>
      </w:r>
    </w:p>
    <w:p w:rsidR="00EF083D" w:rsidRDefault="00D038A1">
      <w:pPr>
        <w:pStyle w:val="Heading5"/>
      </w:pPr>
      <w:bookmarkStart w:id="115" w:name="page-break-11"/>
      <w:bookmarkEnd w:id="115"/>
      <w:r>
        <w:t>Page Break</w:t>
      </w:r>
    </w:p>
    <w:p w:rsidR="00EF083D" w:rsidRDefault="00D038A1">
      <w:pPr>
        <w:pStyle w:val="Heading3"/>
      </w:pPr>
      <w:bookmarkStart w:id="116" w:name="alcohol-related-hospital-admissions"/>
      <w:bookmarkStart w:id="117" w:name="_Toc48134823"/>
      <w:bookmarkEnd w:id="116"/>
      <w:r>
        <w:t>Alcohol-related Hospital Admissions</w:t>
      </w:r>
      <w:bookmarkEnd w:id="117"/>
    </w:p>
    <w:p w:rsidR="00EF083D" w:rsidRDefault="00EF083D"/>
    <w:p w:rsidR="00EF083D" w:rsidRDefault="00D038A1">
      <w:r>
        <w:rPr>
          <w:noProof/>
          <w:lang w:eastAsia="en-GB"/>
        </w:rPr>
        <w:drawing>
          <wp:anchor distT="0" distB="0" distL="114300" distR="114300" simplePos="0" relativeHeight="251660288" behindDoc="0" locked="0" layoutInCell="1" allowOverlap="1">
            <wp:simplePos x="0" y="0"/>
            <wp:positionH relativeFrom="column">
              <wp:posOffset>2540</wp:posOffset>
            </wp:positionH>
            <wp:positionV relativeFrom="paragraph">
              <wp:posOffset>1270</wp:posOffset>
            </wp:positionV>
            <wp:extent cx="924025" cy="924025"/>
            <wp:effectExtent l="0" t="0" r="0" b="0"/>
            <wp:wrapSquare wrapText="bothSides"/>
            <wp:docPr id="2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4-1.pn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924025" cy="924025"/>
                    </a:xfrm>
                    <a:prstGeom prst="rect">
                      <a:avLst/>
                    </a:prstGeom>
                    <a:noFill/>
                    <a:ln w="9525">
                      <a:noFill/>
                      <a:headEnd/>
                      <a:tailEnd/>
                    </a:ln>
                  </pic:spPr>
                </pic:pic>
              </a:graphicData>
            </a:graphic>
          </wp:anchor>
        </w:drawing>
      </w:r>
      <w:r>
        <w:t xml:space="preserve"> The 2018/19 alcohol-related admissions rate is 645 per 100,000 age-sex standar</w:t>
      </w:r>
      <w:r>
        <w:t>dised population</w:t>
      </w:r>
      <w:r>
        <w:rPr>
          <w:vertAlign w:val="superscript"/>
        </w:rPr>
        <w:t>4</w:t>
      </w:r>
      <w:r>
        <w:t>, which is a 13% decrease overall since 2011/12.</w:t>
      </w:r>
    </w:p>
    <w:p w:rsidR="00EF083D" w:rsidRDefault="00D038A1">
      <w:r>
        <w:t>The chart below shows a trend of alcohol-related hospital admissions for Northern locality compared with Scotland, East Ayrshire Partnership and NHS Ayrshire &amp; Arran from financial year 2011</w:t>
      </w:r>
      <w:r>
        <w:t>/12 to 2018/19.</w:t>
      </w:r>
    </w:p>
    <w:p w:rsidR="00EF083D" w:rsidRDefault="00D038A1">
      <w:pPr>
        <w:pStyle w:val="Heading4"/>
      </w:pPr>
      <w:bookmarkStart w:id="118" w:name="figure-21-trend-of-alcohol-related-hospi"/>
      <w:bookmarkStart w:id="119" w:name="_Toc48134824"/>
      <w:bookmarkEnd w:id="118"/>
      <w:r>
        <w:t>Figure 21: Trend of Alcohol-related Hospital Admission Rates by geographical area.</w:t>
      </w:r>
      <w:bookmarkEnd w:id="119"/>
    </w:p>
    <w:p w:rsidR="00EF083D" w:rsidRDefault="00EF083D"/>
    <w:p w:rsidR="00EF083D" w:rsidRDefault="00D038A1">
      <w:r>
        <w:rPr>
          <w:noProof/>
          <w:lang w:eastAsia="en-GB"/>
        </w:rPr>
        <w:drawing>
          <wp:inline distT="0" distB="0" distL="0" distR="0">
            <wp:extent cx="6299200" cy="3599542"/>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5-1.png"/>
                    <pic:cNvPicPr>
                      <a:picLocks noChangeAspect="1" noChangeArrowheads="1"/>
                    </pic:cNvPicPr>
                  </pic:nvPicPr>
                  <pic:blipFill>
                    <a:blip r:embed="rId40"/>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EF083D"/>
    <w:p w:rsidR="00EF083D" w:rsidRDefault="00D038A1">
      <w:r>
        <w:t>Comparison across different areas for 2018/19 is shown in Figure 22. This shows that Northern locality had a lower alcohol-related hospital admissions rate (645) compared to Scotland (669).</w:t>
      </w:r>
    </w:p>
    <w:p w:rsidR="00EF083D" w:rsidRDefault="00D038A1">
      <w:pPr>
        <w:pStyle w:val="Heading4"/>
      </w:pPr>
      <w:bookmarkStart w:id="120" w:name="figure-22-comparison-of-alcohol-related-"/>
      <w:bookmarkStart w:id="121" w:name="_Toc48134825"/>
      <w:bookmarkEnd w:id="120"/>
      <w:r>
        <w:t xml:space="preserve">Figure 22: Comparison of Alcohol-related Hospital Admission Rates </w:t>
      </w:r>
      <w:r>
        <w:t>for 2018/19.</w:t>
      </w:r>
      <w:bookmarkEnd w:id="121"/>
    </w:p>
    <w:p w:rsidR="00EF083D" w:rsidRDefault="00EF083D"/>
    <w:p w:rsidR="00EF083D" w:rsidRDefault="00D038A1">
      <w:r>
        <w:rPr>
          <w:noProof/>
          <w:lang w:eastAsia="en-GB"/>
        </w:rPr>
        <w:drawing>
          <wp:inline distT="0" distB="0" distL="0" distR="0">
            <wp:extent cx="6299200" cy="3233964"/>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6-1.png"/>
                    <pic:cNvPicPr>
                      <a:picLocks noChangeAspect="1" noChangeArrowheads="1"/>
                    </pic:cNvPicPr>
                  </pic:nvPicPr>
                  <pic:blipFill>
                    <a:blip r:embed="rId41"/>
                    <a:stretch>
                      <a:fillRect/>
                    </a:stretch>
                  </pic:blipFill>
                  <pic:spPr bwMode="auto">
                    <a:xfrm>
                      <a:off x="0" y="0"/>
                      <a:ext cx="6299200" cy="3233964"/>
                    </a:xfrm>
                    <a:prstGeom prst="rect">
                      <a:avLst/>
                    </a:prstGeom>
                    <a:noFill/>
                    <a:ln w="9525">
                      <a:noFill/>
                      <a:headEnd/>
                      <a:tailEnd/>
                    </a:ln>
                  </pic:spPr>
                </pic:pic>
              </a:graphicData>
            </a:graphic>
          </wp:inline>
        </w:drawing>
      </w:r>
    </w:p>
    <w:p w:rsidR="00EF083D" w:rsidRDefault="00EF083D"/>
    <w:p w:rsidR="00EF083D" w:rsidRDefault="00D038A1">
      <w:pPr>
        <w:pStyle w:val="Heading3"/>
      </w:pPr>
      <w:bookmarkStart w:id="122" w:name="alcohol-specific-deaths"/>
      <w:bookmarkStart w:id="123" w:name="_Toc48134826"/>
      <w:bookmarkEnd w:id="122"/>
      <w:r>
        <w:t>Alcohol-Specific Deaths</w:t>
      </w:r>
      <w:bookmarkEnd w:id="123"/>
    </w:p>
    <w:p w:rsidR="00EF083D" w:rsidRDefault="00D038A1">
      <w:r>
        <w:t>Data on alcohol-specific deaths is available as 5 year aggregates. The rate of alcohol-specific deaths is currently lower in Northern than the rate in 2009 - 2013 (-3.9% change).</w:t>
      </w:r>
    </w:p>
    <w:p w:rsidR="00EF083D" w:rsidRDefault="00D038A1">
      <w:pPr>
        <w:pStyle w:val="Heading4"/>
      </w:pPr>
      <w:bookmarkStart w:id="124" w:name="figure-23-trend-of-alcohol-specific-deat"/>
      <w:bookmarkStart w:id="125" w:name="_Toc48134827"/>
      <w:bookmarkEnd w:id="124"/>
      <w:r>
        <w:t>Figure 23: Trend of Alcohol-Specific</w:t>
      </w:r>
      <w:r>
        <w:t xml:space="preserve"> Death Rates by geographical area.</w:t>
      </w:r>
      <w:bookmarkEnd w:id="125"/>
    </w:p>
    <w:p w:rsidR="00EF083D" w:rsidRDefault="00EF083D"/>
    <w:p w:rsidR="00EF083D" w:rsidRDefault="00D038A1">
      <w:r>
        <w:rPr>
          <w:noProof/>
          <w:lang w:eastAsia="en-GB"/>
        </w:rPr>
        <w:drawing>
          <wp:inline distT="0" distB="0" distL="0" distR="0">
            <wp:extent cx="6299200" cy="31496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7-1.png"/>
                    <pic:cNvPicPr>
                      <a:picLocks noChangeAspect="1" noChangeArrowheads="1"/>
                    </pic:cNvPicPr>
                  </pic:nvPicPr>
                  <pic:blipFill>
                    <a:blip r:embed="rId42"/>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r>
        <w:t>A comparison across different areas illustrates that Northern locality has a lower alcohol-specific death rate compared to Scotland as a whole.</w:t>
      </w:r>
    </w:p>
    <w:p w:rsidR="00EF083D" w:rsidRDefault="00D038A1">
      <w:pPr>
        <w:pStyle w:val="Heading4"/>
      </w:pPr>
      <w:bookmarkStart w:id="126" w:name="figure-24-comparison-of-alcohol-related-"/>
      <w:bookmarkStart w:id="127" w:name="_Toc48134828"/>
      <w:bookmarkEnd w:id="126"/>
      <w:r>
        <w:t>Figure 24: Comparison of Alcohol-related Death Rates for the period 2014 -</w:t>
      </w:r>
      <w:r>
        <w:t xml:space="preserve"> 2018 (5 year aggregate).</w:t>
      </w:r>
      <w:bookmarkEnd w:id="127"/>
    </w:p>
    <w:p w:rsidR="00EF083D" w:rsidRDefault="00EF083D"/>
    <w:p w:rsidR="00EF083D" w:rsidRDefault="00D038A1">
      <w:r>
        <w:rPr>
          <w:noProof/>
          <w:lang w:eastAsia="en-GB"/>
        </w:rPr>
        <w:drawing>
          <wp:inline distT="0" distB="0" distL="0" distR="0">
            <wp:extent cx="6299200" cy="3233964"/>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8-1.png"/>
                    <pic:cNvPicPr>
                      <a:picLocks noChangeAspect="1" noChangeArrowheads="1"/>
                    </pic:cNvPicPr>
                  </pic:nvPicPr>
                  <pic:blipFill>
                    <a:blip r:embed="rId43"/>
                    <a:stretch>
                      <a:fillRect/>
                    </a:stretch>
                  </pic:blipFill>
                  <pic:spPr bwMode="auto">
                    <a:xfrm>
                      <a:off x="0" y="0"/>
                      <a:ext cx="6299200" cy="3233964"/>
                    </a:xfrm>
                    <a:prstGeom prst="rect">
                      <a:avLst/>
                    </a:prstGeom>
                    <a:noFill/>
                    <a:ln w="9525">
                      <a:noFill/>
                      <a:headEnd/>
                      <a:tailEnd/>
                    </a:ln>
                  </pic:spPr>
                </pic:pic>
              </a:graphicData>
            </a:graphic>
          </wp:inline>
        </w:drawing>
      </w:r>
    </w:p>
    <w:p w:rsidR="00EF083D" w:rsidRDefault="00D038A1">
      <w:pPr>
        <w:pStyle w:val="Heading3"/>
      </w:pPr>
      <w:bookmarkStart w:id="128" w:name="bowel-screening-uptake"/>
      <w:bookmarkStart w:id="129" w:name="_Toc48134829"/>
      <w:bookmarkEnd w:id="128"/>
      <w:r>
        <w:t>Bowel Screening Uptake</w:t>
      </w:r>
      <w:bookmarkEnd w:id="129"/>
    </w:p>
    <w:p w:rsidR="00EF083D" w:rsidRDefault="00D038A1">
      <w:r>
        <w:t>Bowel screening is offered every two years to eligible men and women aged between 50-74 years old. Eligible people are posted a test kit which is completed at home. Since 1st April 2013, those aged 75 and</w:t>
      </w:r>
      <w:r>
        <w:t xml:space="preserve"> over can also self-refer and opt into screening.</w:t>
      </w:r>
    </w:p>
    <w:p w:rsidR="00EF083D" w:rsidRDefault="00D038A1">
      <w:r>
        <w:t>A trend of the percentage uptake of bowel screening among the eligible population is shown below for Northern locality compared with Scotland, East Ayrshire HSCP and NHS Ayrshire &amp; Arran. Data is suppressed</w:t>
      </w:r>
      <w:r>
        <w:t xml:space="preserve"> into 3 year aggregates. The 2016 - 2018 uptake rate for Northern is </w:t>
      </w:r>
      <w:r>
        <w:rPr>
          <w:b/>
        </w:rPr>
        <w:t>60%</w:t>
      </w:r>
      <w:r>
        <w:t>.</w:t>
      </w:r>
    </w:p>
    <w:p w:rsidR="00EF083D" w:rsidRDefault="00D038A1">
      <w:pPr>
        <w:pStyle w:val="Heading4"/>
      </w:pPr>
      <w:bookmarkStart w:id="130" w:name="figure-25-trend-of-bowel-screening-uptak"/>
      <w:bookmarkStart w:id="131" w:name="_Toc48134830"/>
      <w:bookmarkEnd w:id="130"/>
      <w:r>
        <w:t>Figure 25: Trend of Bowel Screening Uptake for eligible men and women, by geographical area.</w:t>
      </w:r>
      <w:bookmarkEnd w:id="131"/>
    </w:p>
    <w:p w:rsidR="00EF083D" w:rsidRDefault="00EF083D"/>
    <w:p w:rsidR="00EF083D" w:rsidRDefault="00D038A1">
      <w:r>
        <w:rPr>
          <w:noProof/>
          <w:lang w:eastAsia="en-GB"/>
        </w:rPr>
        <w:drawing>
          <wp:inline distT="0" distB="0" distL="0" distR="0">
            <wp:extent cx="6299200" cy="314960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39-1.png"/>
                    <pic:cNvPicPr>
                      <a:picLocks noChangeAspect="1" noChangeArrowheads="1"/>
                    </pic:cNvPicPr>
                  </pic:nvPicPr>
                  <pic:blipFill>
                    <a:blip r:embed="rId44"/>
                    <a:stretch>
                      <a:fillRect/>
                    </a:stretch>
                  </pic:blipFill>
                  <pic:spPr bwMode="auto">
                    <a:xfrm>
                      <a:off x="0" y="0"/>
                      <a:ext cx="6299200" cy="3149600"/>
                    </a:xfrm>
                    <a:prstGeom prst="rect">
                      <a:avLst/>
                    </a:prstGeom>
                    <a:noFill/>
                    <a:ln w="9525">
                      <a:noFill/>
                      <a:headEnd/>
                      <a:tailEnd/>
                    </a:ln>
                  </pic:spPr>
                </pic:pic>
              </a:graphicData>
            </a:graphic>
          </wp:inline>
        </w:drawing>
      </w:r>
    </w:p>
    <w:p w:rsidR="00EF083D" w:rsidRDefault="00D038A1">
      <w:r>
        <w:t>Compared with Scotland, Northern locality has a higher percentage uptake of bowel canc</w:t>
      </w:r>
      <w:r>
        <w:t>er screening for the period 2016 - 2018.</w:t>
      </w:r>
    </w:p>
    <w:p w:rsidR="00EF083D" w:rsidRDefault="00D038A1">
      <w:pPr>
        <w:pStyle w:val="Heading4"/>
      </w:pPr>
      <w:bookmarkStart w:id="132" w:name="figure-26-comparison-of-bowel-screening-"/>
      <w:bookmarkStart w:id="133" w:name="_Toc48134831"/>
      <w:bookmarkEnd w:id="132"/>
      <w:r>
        <w:t>Figure 26: Comparison of Bowel Screening Uptake for 2016 - 2018.</w:t>
      </w:r>
      <w:bookmarkEnd w:id="133"/>
    </w:p>
    <w:p w:rsidR="00EF083D" w:rsidRDefault="00EF083D"/>
    <w:p w:rsidR="00EF083D" w:rsidRDefault="00D038A1">
      <w:r>
        <w:rPr>
          <w:noProof/>
          <w:lang w:eastAsia="en-GB"/>
        </w:rPr>
        <w:drawing>
          <wp:inline distT="0" distB="0" distL="0" distR="0">
            <wp:extent cx="6299200" cy="3233964"/>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0-1.png"/>
                    <pic:cNvPicPr>
                      <a:picLocks noChangeAspect="1" noChangeArrowheads="1"/>
                    </pic:cNvPicPr>
                  </pic:nvPicPr>
                  <pic:blipFill>
                    <a:blip r:embed="rId45"/>
                    <a:stretch>
                      <a:fillRect/>
                    </a:stretch>
                  </pic:blipFill>
                  <pic:spPr bwMode="auto">
                    <a:xfrm>
                      <a:off x="0" y="0"/>
                      <a:ext cx="6299200" cy="3233964"/>
                    </a:xfrm>
                    <a:prstGeom prst="rect">
                      <a:avLst/>
                    </a:prstGeom>
                    <a:noFill/>
                    <a:ln w="9525">
                      <a:noFill/>
                      <a:headEnd/>
                      <a:tailEnd/>
                    </a:ln>
                  </pic:spPr>
                </pic:pic>
              </a:graphicData>
            </a:graphic>
          </wp:inline>
        </w:drawing>
      </w:r>
    </w:p>
    <w:p w:rsidR="00EF083D" w:rsidRDefault="00D038A1">
      <w:pPr>
        <w:pStyle w:val="Heading5"/>
      </w:pPr>
      <w:bookmarkStart w:id="134" w:name="pagebreak-3"/>
      <w:bookmarkEnd w:id="134"/>
      <w:r>
        <w:t>Pagebreak</w:t>
      </w:r>
    </w:p>
    <w:p w:rsidR="00EF083D" w:rsidRDefault="00D038A1">
      <w:pPr>
        <w:pStyle w:val="Heading2"/>
      </w:pPr>
      <w:bookmarkStart w:id="135" w:name="unscheduled-care"/>
      <w:bookmarkStart w:id="136" w:name="_Toc48134832"/>
      <w:bookmarkEnd w:id="135"/>
      <w:r>
        <w:t>Unscheduled Care</w:t>
      </w:r>
      <w:bookmarkEnd w:id="136"/>
    </w:p>
    <w:p w:rsidR="00EF083D" w:rsidRDefault="00D038A1">
      <w:r>
        <w:t>This section includes acute and mental health acute hospital data, delayed discharges and A&amp;E attendances.</w:t>
      </w:r>
    </w:p>
    <w:p w:rsidR="00EF083D" w:rsidRDefault="00D038A1">
      <w:r>
        <w:rPr>
          <w:b/>
        </w:rPr>
        <w:t xml:space="preserve">For the most </w:t>
      </w:r>
      <w:r>
        <w:rPr>
          <w:b/>
        </w:rPr>
        <w:t>recent time periods available, Northern had:</w:t>
      </w:r>
    </w:p>
    <w:p w:rsidR="00EF083D" w:rsidRDefault="00D038A1">
      <w:pPr>
        <w:numPr>
          <w:ilvl w:val="0"/>
          <w:numId w:val="8"/>
        </w:numPr>
      </w:pPr>
      <w:r>
        <w:rPr>
          <w:b/>
        </w:rPr>
        <w:t>13,759</w:t>
      </w:r>
      <w:r>
        <w:t xml:space="preserve"> emergency health hospital admissions per 100,000 population.</w:t>
      </w:r>
    </w:p>
    <w:p w:rsidR="00EF083D" w:rsidRDefault="00D038A1">
      <w:pPr>
        <w:numPr>
          <w:ilvl w:val="0"/>
          <w:numId w:val="8"/>
        </w:numPr>
      </w:pPr>
      <w:r>
        <w:rPr>
          <w:b/>
        </w:rPr>
        <w:t>76,760</w:t>
      </w:r>
      <w:r>
        <w:t xml:space="preserve"> unscheduled hospital bed days per 100,000 population.</w:t>
      </w:r>
    </w:p>
    <w:p w:rsidR="00EF083D" w:rsidRDefault="00D038A1">
      <w:pPr>
        <w:numPr>
          <w:ilvl w:val="0"/>
          <w:numId w:val="8"/>
        </w:numPr>
      </w:pPr>
      <w:r>
        <w:rPr>
          <w:b/>
        </w:rPr>
        <w:t>27,797</w:t>
      </w:r>
      <w:r>
        <w:t xml:space="preserve"> A&amp;E attendances per 100,000 population.</w:t>
      </w:r>
    </w:p>
    <w:p w:rsidR="00EF083D" w:rsidRDefault="00D038A1">
      <w:pPr>
        <w:numPr>
          <w:ilvl w:val="0"/>
          <w:numId w:val="8"/>
        </w:numPr>
      </w:pPr>
      <w:r>
        <w:rPr>
          <w:b/>
        </w:rPr>
        <w:t>3,987</w:t>
      </w:r>
      <w:r>
        <w:t xml:space="preserve"> </w:t>
      </w:r>
      <w:r>
        <w:t>delayed discharges per 100,000 population.</w:t>
      </w:r>
    </w:p>
    <w:p w:rsidR="00EF083D" w:rsidRDefault="00D038A1">
      <w:pPr>
        <w:numPr>
          <w:ilvl w:val="0"/>
          <w:numId w:val="8"/>
        </w:numPr>
      </w:pPr>
      <w:r>
        <w:rPr>
          <w:b/>
        </w:rPr>
        <w:t>704</w:t>
      </w:r>
      <w:r>
        <w:t xml:space="preserve"> falls admissions per 100,000 population.</w:t>
      </w:r>
    </w:p>
    <w:p w:rsidR="00EF083D" w:rsidRDefault="00D038A1">
      <w:pPr>
        <w:numPr>
          <w:ilvl w:val="0"/>
          <w:numId w:val="8"/>
        </w:numPr>
      </w:pPr>
      <w:r>
        <w:rPr>
          <w:b/>
        </w:rPr>
        <w:t>113</w:t>
      </w:r>
      <w:r>
        <w:t xml:space="preserve"> readmissions (28 day) per 1,000 discharges.</w:t>
      </w:r>
    </w:p>
    <w:p w:rsidR="00EF083D" w:rsidRDefault="00D038A1">
      <w:pPr>
        <w:numPr>
          <w:ilvl w:val="0"/>
          <w:numId w:val="8"/>
        </w:numPr>
      </w:pPr>
      <w:r>
        <w:rPr>
          <w:b/>
        </w:rPr>
        <w:t>2,321</w:t>
      </w:r>
      <w:r>
        <w:t xml:space="preserve"> potentially preventable hospital admissions per 100,000 population.</w:t>
      </w:r>
    </w:p>
    <w:p w:rsidR="00EF083D" w:rsidRDefault="00D038A1">
      <w:pPr>
        <w:numPr>
          <w:ilvl w:val="0"/>
          <w:numId w:val="8"/>
        </w:numPr>
      </w:pPr>
      <w:r>
        <w:rPr>
          <w:b/>
        </w:rPr>
        <w:t>89%</w:t>
      </w:r>
      <w:r>
        <w:t xml:space="preserve"> of people spent their last 6 months of lif</w:t>
      </w:r>
      <w:r>
        <w:t>e in a community setting.</w:t>
      </w:r>
    </w:p>
    <w:p w:rsidR="00EF083D" w:rsidRDefault="00D038A1">
      <w:pPr>
        <w:pStyle w:val="Heading5"/>
      </w:pPr>
      <w:bookmarkStart w:id="137" w:name="pagebreak-4"/>
      <w:bookmarkEnd w:id="137"/>
      <w:r>
        <w:t>Pagebreak</w:t>
      </w:r>
    </w:p>
    <w:p w:rsidR="00EF083D" w:rsidRDefault="00D038A1">
      <w:pPr>
        <w:pStyle w:val="Heading3"/>
      </w:pPr>
      <w:bookmarkStart w:id="138" w:name="emergency-admissions"/>
      <w:bookmarkStart w:id="139" w:name="_Toc48134833"/>
      <w:bookmarkEnd w:id="138"/>
      <w:r>
        <w:t>Emergency Admissions</w:t>
      </w:r>
      <w:bookmarkEnd w:id="139"/>
    </w:p>
    <w:p w:rsidR="00EF083D" w:rsidRDefault="00D038A1">
      <w:pPr>
        <w:pStyle w:val="Heading4"/>
      </w:pPr>
      <w:bookmarkStart w:id="140" w:name="figure-27-emergency-admissions-by-age-gr"/>
      <w:bookmarkStart w:id="141" w:name="_Toc48134834"/>
      <w:bookmarkEnd w:id="140"/>
      <w:r>
        <w:t>Figure 27: Emergency admissions by age group</w:t>
      </w:r>
      <w:bookmarkEnd w:id="141"/>
    </w:p>
    <w:p w:rsidR="00EF083D" w:rsidRDefault="00EF083D"/>
    <w:p w:rsidR="00EF083D" w:rsidRDefault="00D038A1">
      <w:r>
        <w:rPr>
          <w:noProof/>
          <w:lang w:eastAsia="en-GB"/>
        </w:rPr>
        <w:drawing>
          <wp:inline distT="0" distB="0" distL="0" distR="0">
            <wp:extent cx="6299200" cy="3599542"/>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1-1.png"/>
                    <pic:cNvPicPr>
                      <a:picLocks noChangeAspect="1" noChangeArrowheads="1"/>
                    </pic:cNvPicPr>
                  </pic:nvPicPr>
                  <pic:blipFill>
                    <a:blip r:embed="rId46"/>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42" w:name="figure-28-emergency-admissions-by-geogra"/>
      <w:bookmarkStart w:id="143" w:name="_Toc48134835"/>
      <w:bookmarkEnd w:id="142"/>
      <w:r>
        <w:t>Figure 28: Emergency admissions by geographical area</w:t>
      </w:r>
      <w:bookmarkEnd w:id="143"/>
    </w:p>
    <w:p w:rsidR="00EF083D" w:rsidRDefault="00EF083D"/>
    <w:p w:rsidR="00EF083D" w:rsidRDefault="00D038A1">
      <w:r>
        <w:rPr>
          <w:noProof/>
          <w:lang w:eastAsia="en-GB"/>
        </w:rPr>
        <w:drawing>
          <wp:inline distT="0" distB="0" distL="0" distR="0">
            <wp:extent cx="6299200" cy="3599542"/>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2-1.png"/>
                    <pic:cNvPicPr>
                      <a:picLocks noChangeAspect="1" noChangeArrowheads="1"/>
                    </pic:cNvPicPr>
                  </pic:nvPicPr>
                  <pic:blipFill>
                    <a:blip r:embed="rId47"/>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44" w:name="unscheduled-bed-days"/>
      <w:bookmarkStart w:id="145" w:name="_Toc48134836"/>
      <w:bookmarkEnd w:id="144"/>
      <w:r>
        <w:t>Unscheduled Bed Days</w:t>
      </w:r>
      <w:bookmarkEnd w:id="145"/>
    </w:p>
    <w:p w:rsidR="00EF083D" w:rsidRDefault="00D038A1">
      <w:pPr>
        <w:pStyle w:val="Heading4"/>
      </w:pPr>
      <w:bookmarkStart w:id="146" w:name="figure-29-unscheduled-bed-days-by-age-gr"/>
      <w:bookmarkStart w:id="147" w:name="_Toc48134837"/>
      <w:bookmarkEnd w:id="146"/>
      <w:r>
        <w:t>Figure 29: Unscheduled bed days by age group</w:t>
      </w:r>
      <w:bookmarkEnd w:id="147"/>
    </w:p>
    <w:p w:rsidR="00EF083D" w:rsidRDefault="00EF083D"/>
    <w:p w:rsidR="00EF083D" w:rsidRDefault="00D038A1">
      <w:r>
        <w:rPr>
          <w:noProof/>
          <w:lang w:eastAsia="en-GB"/>
        </w:rPr>
        <w:drawing>
          <wp:inline distT="0" distB="0" distL="0" distR="0">
            <wp:extent cx="6299200" cy="3599542"/>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3-1.png"/>
                    <pic:cNvPicPr>
                      <a:picLocks noChangeAspect="1" noChangeArrowheads="1"/>
                    </pic:cNvPicPr>
                  </pic:nvPicPr>
                  <pic:blipFill>
                    <a:blip r:embed="rId48"/>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48" w:name="figure-30-unscheduled-bed-days-by-geogra"/>
      <w:bookmarkStart w:id="149" w:name="_Toc48134838"/>
      <w:bookmarkEnd w:id="148"/>
      <w:r>
        <w:t>Figure 30: Unscheduled bed days by geographical area</w:t>
      </w:r>
      <w:bookmarkEnd w:id="149"/>
    </w:p>
    <w:p w:rsidR="00EF083D" w:rsidRDefault="00EF083D"/>
    <w:p w:rsidR="00EF083D" w:rsidRDefault="00D038A1">
      <w:r>
        <w:rPr>
          <w:noProof/>
          <w:lang w:eastAsia="en-GB"/>
        </w:rPr>
        <w:drawing>
          <wp:inline distT="0" distB="0" distL="0" distR="0">
            <wp:extent cx="6299200" cy="3599542"/>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4-1.png"/>
                    <pic:cNvPicPr>
                      <a:picLocks noChangeAspect="1" noChangeArrowheads="1"/>
                    </pic:cNvPicPr>
                  </pic:nvPicPr>
                  <pic:blipFill>
                    <a:blip r:embed="rId49"/>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50" w:name="ae-attendances"/>
      <w:bookmarkStart w:id="151" w:name="_Toc48134839"/>
      <w:bookmarkEnd w:id="150"/>
      <w:r>
        <w:t>A&amp;E Attendances</w:t>
      </w:r>
      <w:bookmarkEnd w:id="151"/>
    </w:p>
    <w:p w:rsidR="00EF083D" w:rsidRDefault="00D038A1">
      <w:pPr>
        <w:pStyle w:val="Heading4"/>
      </w:pPr>
      <w:bookmarkStart w:id="152" w:name="figure-31-ae-attendances-by-age-group"/>
      <w:bookmarkStart w:id="153" w:name="_Toc48134840"/>
      <w:bookmarkEnd w:id="152"/>
      <w:r>
        <w:t>Figure 31: A&amp;E attendances by age group</w:t>
      </w:r>
      <w:bookmarkEnd w:id="153"/>
    </w:p>
    <w:p w:rsidR="00EF083D" w:rsidRDefault="00EF083D"/>
    <w:p w:rsidR="00EF083D" w:rsidRDefault="00D038A1">
      <w:r>
        <w:rPr>
          <w:noProof/>
          <w:lang w:eastAsia="en-GB"/>
        </w:rPr>
        <w:drawing>
          <wp:inline distT="0" distB="0" distL="0" distR="0">
            <wp:extent cx="6299200" cy="3599542"/>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5-1.png"/>
                    <pic:cNvPicPr>
                      <a:picLocks noChangeAspect="1" noChangeArrowheads="1"/>
                    </pic:cNvPicPr>
                  </pic:nvPicPr>
                  <pic:blipFill>
                    <a:blip r:embed="rId50"/>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54" w:name="figure-32-ae-attendances-by-geographical"/>
      <w:bookmarkStart w:id="155" w:name="_Toc48134841"/>
      <w:bookmarkEnd w:id="154"/>
      <w:r>
        <w:t>Figure 32: A&amp;E attendances by geographical area</w:t>
      </w:r>
      <w:bookmarkEnd w:id="155"/>
    </w:p>
    <w:p w:rsidR="00EF083D" w:rsidRDefault="00EF083D"/>
    <w:p w:rsidR="00EF083D" w:rsidRDefault="00D038A1">
      <w:r>
        <w:rPr>
          <w:noProof/>
          <w:lang w:eastAsia="en-GB"/>
        </w:rPr>
        <w:drawing>
          <wp:inline distT="0" distB="0" distL="0" distR="0">
            <wp:extent cx="6299200" cy="3599542"/>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6-1.png"/>
                    <pic:cNvPicPr>
                      <a:picLocks noChangeAspect="1" noChangeArrowheads="1"/>
                    </pic:cNvPicPr>
                  </pic:nvPicPr>
                  <pic:blipFill>
                    <a:blip r:embed="rId51"/>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56" w:name="delayed-discharges"/>
      <w:bookmarkStart w:id="157" w:name="_Toc48134842"/>
      <w:bookmarkEnd w:id="156"/>
      <w:r>
        <w:t>Delayed Discharges</w:t>
      </w:r>
      <w:bookmarkEnd w:id="157"/>
    </w:p>
    <w:p w:rsidR="00EF083D" w:rsidRDefault="00D038A1">
      <w:pPr>
        <w:pStyle w:val="Heading4"/>
      </w:pPr>
      <w:bookmarkStart w:id="158" w:name="figure-33-delayed-discharges-by-age-grou"/>
      <w:bookmarkStart w:id="159" w:name="_Toc48134843"/>
      <w:bookmarkEnd w:id="158"/>
      <w:r>
        <w:t>Figure 33: Delayed discharges by age group</w:t>
      </w:r>
      <w:bookmarkEnd w:id="159"/>
    </w:p>
    <w:p w:rsidR="00EF083D" w:rsidRDefault="00EF083D"/>
    <w:p w:rsidR="00EF083D" w:rsidRDefault="00D038A1">
      <w:r>
        <w:rPr>
          <w:noProof/>
          <w:lang w:eastAsia="en-GB"/>
        </w:rPr>
        <w:drawing>
          <wp:inline distT="0" distB="0" distL="0" distR="0">
            <wp:extent cx="6299200" cy="3599542"/>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7-1.png"/>
                    <pic:cNvPicPr>
                      <a:picLocks noChangeAspect="1" noChangeArrowheads="1"/>
                    </pic:cNvPicPr>
                  </pic:nvPicPr>
                  <pic:blipFill>
                    <a:blip r:embed="rId52"/>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60" w:name="figure-34-delayed-discharges-by-geograph"/>
      <w:bookmarkStart w:id="161" w:name="_Toc48134844"/>
      <w:bookmarkEnd w:id="160"/>
      <w:r>
        <w:t>Figure 34: Delayed discharges by geographical area</w:t>
      </w:r>
      <w:bookmarkEnd w:id="161"/>
    </w:p>
    <w:p w:rsidR="00EF083D" w:rsidRDefault="00EF083D"/>
    <w:p w:rsidR="00EF083D" w:rsidRDefault="00D038A1">
      <w:r>
        <w:rPr>
          <w:noProof/>
          <w:lang w:eastAsia="en-GB"/>
        </w:rPr>
        <w:drawing>
          <wp:inline distT="0" distB="0" distL="0" distR="0">
            <wp:extent cx="6299200" cy="3599542"/>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8-1.png"/>
                    <pic:cNvPicPr>
                      <a:picLocks noChangeAspect="1" noChangeArrowheads="1"/>
                    </pic:cNvPicPr>
                  </pic:nvPicPr>
                  <pic:blipFill>
                    <a:blip r:embed="rId53"/>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62" w:name="emergency-admissions-from-a-fall"/>
      <w:bookmarkStart w:id="163" w:name="_Toc48134845"/>
      <w:bookmarkEnd w:id="162"/>
      <w:r>
        <w:t>Emergency Admissions from a Fall</w:t>
      </w:r>
      <w:bookmarkEnd w:id="163"/>
    </w:p>
    <w:p w:rsidR="00EF083D" w:rsidRDefault="00D038A1">
      <w:pPr>
        <w:pStyle w:val="Heading4"/>
      </w:pPr>
      <w:bookmarkStart w:id="164" w:name="figure-35-falls-by-age-group"/>
      <w:bookmarkStart w:id="165" w:name="_Toc48134846"/>
      <w:bookmarkEnd w:id="164"/>
      <w:r>
        <w:t>Figure 35: Falls by age group</w:t>
      </w:r>
      <w:bookmarkEnd w:id="165"/>
    </w:p>
    <w:p w:rsidR="00EF083D" w:rsidRDefault="00EF083D"/>
    <w:p w:rsidR="00EF083D" w:rsidRDefault="00D038A1">
      <w:r>
        <w:rPr>
          <w:noProof/>
          <w:lang w:eastAsia="en-GB"/>
        </w:rPr>
        <w:drawing>
          <wp:inline distT="0" distB="0" distL="0" distR="0">
            <wp:extent cx="6299200" cy="3599542"/>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49-1.png"/>
                    <pic:cNvPicPr>
                      <a:picLocks noChangeAspect="1" noChangeArrowheads="1"/>
                    </pic:cNvPicPr>
                  </pic:nvPicPr>
                  <pic:blipFill>
                    <a:blip r:embed="rId54"/>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66" w:name="figure-36-falls-by-geographical-area"/>
      <w:bookmarkStart w:id="167" w:name="_Toc48134847"/>
      <w:bookmarkEnd w:id="166"/>
      <w:r>
        <w:t>Figure 36: Falls by geographical area</w:t>
      </w:r>
      <w:bookmarkEnd w:id="167"/>
    </w:p>
    <w:p w:rsidR="00EF083D" w:rsidRDefault="00EF083D"/>
    <w:p w:rsidR="00EF083D" w:rsidRDefault="00D038A1">
      <w:r>
        <w:rPr>
          <w:noProof/>
          <w:lang w:eastAsia="en-GB"/>
        </w:rPr>
        <w:drawing>
          <wp:inline distT="0" distB="0" distL="0" distR="0">
            <wp:extent cx="6299200" cy="3599542"/>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0-1.png"/>
                    <pic:cNvPicPr>
                      <a:picLocks noChangeAspect="1" noChangeArrowheads="1"/>
                    </pic:cNvPicPr>
                  </pic:nvPicPr>
                  <pic:blipFill>
                    <a:blip r:embed="rId55"/>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68" w:name="emergency-readmissions-28-days"/>
      <w:bookmarkStart w:id="169" w:name="_Toc48134848"/>
      <w:bookmarkEnd w:id="168"/>
      <w:r>
        <w:t>Emergency Readmissions (28 days)</w:t>
      </w:r>
      <w:bookmarkEnd w:id="169"/>
    </w:p>
    <w:p w:rsidR="00EF083D" w:rsidRDefault="00D038A1">
      <w:pPr>
        <w:pStyle w:val="Heading4"/>
      </w:pPr>
      <w:bookmarkStart w:id="170" w:name="figure-37-emergency-readmissions-by-age-"/>
      <w:bookmarkStart w:id="171" w:name="_Toc48134849"/>
      <w:bookmarkEnd w:id="170"/>
      <w:r>
        <w:t>Figure 37: Emergency readmissions by age group</w:t>
      </w:r>
      <w:bookmarkEnd w:id="171"/>
    </w:p>
    <w:p w:rsidR="00EF083D" w:rsidRDefault="00EF083D"/>
    <w:p w:rsidR="00EF083D" w:rsidRDefault="00D038A1">
      <w:r>
        <w:rPr>
          <w:noProof/>
          <w:lang w:eastAsia="en-GB"/>
        </w:rPr>
        <w:drawing>
          <wp:inline distT="0" distB="0" distL="0" distR="0">
            <wp:extent cx="6299200" cy="3599542"/>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1-1.png"/>
                    <pic:cNvPicPr>
                      <a:picLocks noChangeAspect="1" noChangeArrowheads="1"/>
                    </pic:cNvPicPr>
                  </pic:nvPicPr>
                  <pic:blipFill>
                    <a:blip r:embed="rId56"/>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72" w:name="figure-38-emergency-readmissions-by-geog"/>
      <w:bookmarkStart w:id="173" w:name="_Toc48134850"/>
      <w:bookmarkEnd w:id="172"/>
      <w:r>
        <w:t>Figure 38: E</w:t>
      </w:r>
      <w:r>
        <w:t>mergency readmissions by geographical area</w:t>
      </w:r>
      <w:bookmarkEnd w:id="173"/>
    </w:p>
    <w:p w:rsidR="00EF083D" w:rsidRDefault="00EF083D"/>
    <w:p w:rsidR="00EF083D" w:rsidRDefault="00D038A1">
      <w:r>
        <w:rPr>
          <w:noProof/>
          <w:lang w:eastAsia="en-GB"/>
        </w:rPr>
        <w:drawing>
          <wp:inline distT="0" distB="0" distL="0" distR="0">
            <wp:extent cx="6299200" cy="3599542"/>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2-1.png"/>
                    <pic:cNvPicPr>
                      <a:picLocks noChangeAspect="1" noChangeArrowheads="1"/>
                    </pic:cNvPicPr>
                  </pic:nvPicPr>
                  <pic:blipFill>
                    <a:blip r:embed="rId57"/>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74" w:name="potentially-preventable-admissions-ppas"/>
      <w:bookmarkStart w:id="175" w:name="_Toc48134851"/>
      <w:bookmarkEnd w:id="174"/>
      <w:r>
        <w:t>Potentially Preventable Admissions (PPAs)</w:t>
      </w:r>
      <w:bookmarkEnd w:id="175"/>
    </w:p>
    <w:p w:rsidR="00EF083D" w:rsidRDefault="00D038A1">
      <w:r>
        <w:t>Information on which conditions are counted as PPAs is available in Appendix 2.</w:t>
      </w:r>
    </w:p>
    <w:p w:rsidR="00EF083D" w:rsidRDefault="00D038A1">
      <w:pPr>
        <w:pStyle w:val="Heading4"/>
      </w:pPr>
      <w:bookmarkStart w:id="176" w:name="figure-39-ppas-by-age-group"/>
      <w:bookmarkStart w:id="177" w:name="_Toc48134852"/>
      <w:bookmarkEnd w:id="176"/>
      <w:r>
        <w:t>Figure 39: PPAs by age group</w:t>
      </w:r>
      <w:bookmarkEnd w:id="177"/>
    </w:p>
    <w:p w:rsidR="00EF083D" w:rsidRDefault="00EF083D"/>
    <w:p w:rsidR="00EF083D" w:rsidRDefault="00D038A1">
      <w:r>
        <w:rPr>
          <w:noProof/>
          <w:lang w:eastAsia="en-GB"/>
        </w:rPr>
        <w:drawing>
          <wp:inline distT="0" distB="0" distL="0" distR="0">
            <wp:extent cx="6299200" cy="3599542"/>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3-1.png"/>
                    <pic:cNvPicPr>
                      <a:picLocks noChangeAspect="1" noChangeArrowheads="1"/>
                    </pic:cNvPicPr>
                  </pic:nvPicPr>
                  <pic:blipFill>
                    <a:blip r:embed="rId58"/>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78" w:name="figure-40-ppas-by-geographical-area"/>
      <w:bookmarkStart w:id="179" w:name="_Toc48134853"/>
      <w:bookmarkEnd w:id="178"/>
      <w:r>
        <w:t>Figure 40: PPAs by geographical area</w:t>
      </w:r>
      <w:bookmarkEnd w:id="179"/>
    </w:p>
    <w:p w:rsidR="00EF083D" w:rsidRDefault="00EF083D"/>
    <w:p w:rsidR="00EF083D" w:rsidRDefault="00D038A1">
      <w:r>
        <w:rPr>
          <w:noProof/>
          <w:lang w:eastAsia="en-GB"/>
        </w:rPr>
        <w:drawing>
          <wp:inline distT="0" distB="0" distL="0" distR="0">
            <wp:extent cx="6299200" cy="3599542"/>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4-1.png"/>
                    <pic:cNvPicPr>
                      <a:picLocks noChangeAspect="1" noChangeArrowheads="1"/>
                    </pic:cNvPicPr>
                  </pic:nvPicPr>
                  <pic:blipFill>
                    <a:blip r:embed="rId59"/>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80" w:name="last-6-months-in-a-community-setting"/>
      <w:bookmarkStart w:id="181" w:name="_Toc48134854"/>
      <w:bookmarkEnd w:id="180"/>
      <w:r>
        <w:t>% Last 6 months in a Community Setting</w:t>
      </w:r>
      <w:bookmarkEnd w:id="181"/>
    </w:p>
    <w:p w:rsidR="00EF083D" w:rsidRDefault="00D038A1">
      <w:pPr>
        <w:pStyle w:val="Heading4"/>
      </w:pPr>
      <w:bookmarkStart w:id="182" w:name="figure-41-last-6-months-in-a-community-s"/>
      <w:bookmarkStart w:id="183" w:name="_Toc48134855"/>
      <w:bookmarkEnd w:id="182"/>
      <w:r>
        <w:t>Figure 41: Last 6 months in a community setting by geographical area</w:t>
      </w:r>
      <w:bookmarkEnd w:id="183"/>
    </w:p>
    <w:p w:rsidR="00EF083D" w:rsidRDefault="00EF083D"/>
    <w:p w:rsidR="00EF083D" w:rsidRDefault="00D038A1">
      <w:r>
        <w:rPr>
          <w:noProof/>
          <w:lang w:eastAsia="en-GB"/>
        </w:rPr>
        <w:drawing>
          <wp:inline distT="0" distB="0" distL="0" distR="0">
            <wp:extent cx="6299200" cy="3599542"/>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5-1.png"/>
                    <pic:cNvPicPr>
                      <a:picLocks noChangeAspect="1" noChangeArrowheads="1"/>
                    </pic:cNvPicPr>
                  </pic:nvPicPr>
                  <pic:blipFill>
                    <a:blip r:embed="rId60"/>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5"/>
      </w:pPr>
      <w:bookmarkStart w:id="184" w:name="pagebreak-5"/>
      <w:bookmarkEnd w:id="184"/>
      <w:r>
        <w:t>Pagebreak</w:t>
      </w:r>
    </w:p>
    <w:p w:rsidR="00EF083D" w:rsidRDefault="00D038A1">
      <w:pPr>
        <w:pStyle w:val="Heading2"/>
      </w:pPr>
      <w:bookmarkStart w:id="185" w:name="unscheduled-care-in-mental-health-mh-hos"/>
      <w:bookmarkStart w:id="186" w:name="_Toc48134856"/>
      <w:bookmarkEnd w:id="185"/>
      <w:r>
        <w:t>Unscheduled Care in Mental Health (MH) Hospitals</w:t>
      </w:r>
      <w:bookmarkEnd w:id="186"/>
    </w:p>
    <w:p w:rsidR="00EF083D" w:rsidRDefault="00D038A1">
      <w:r>
        <w:t>This section looks at hospital admissions to mental health specialties.</w:t>
      </w:r>
    </w:p>
    <w:p w:rsidR="00EF083D" w:rsidRDefault="00D038A1">
      <w:r>
        <w:rPr>
          <w:b/>
        </w:rPr>
        <w:t>For the most r</w:t>
      </w:r>
      <w:r>
        <w:rPr>
          <w:b/>
        </w:rPr>
        <w:t>ecent time periods available, Northern had:</w:t>
      </w:r>
    </w:p>
    <w:p w:rsidR="00EF083D" w:rsidRDefault="00D038A1">
      <w:pPr>
        <w:numPr>
          <w:ilvl w:val="0"/>
          <w:numId w:val="9"/>
        </w:numPr>
      </w:pPr>
      <w:r>
        <w:rPr>
          <w:b/>
        </w:rPr>
        <w:t>207</w:t>
      </w:r>
      <w:r>
        <w:t xml:space="preserve"> emergency mental health hospital admissions per 100,000.</w:t>
      </w:r>
    </w:p>
    <w:p w:rsidR="00EF083D" w:rsidRDefault="00D038A1">
      <w:pPr>
        <w:numPr>
          <w:ilvl w:val="0"/>
          <w:numId w:val="9"/>
        </w:numPr>
      </w:pPr>
      <w:r>
        <w:rPr>
          <w:b/>
        </w:rPr>
        <w:t>10,290</w:t>
      </w:r>
      <w:r>
        <w:t xml:space="preserve"> unscheduled mental health hospital bed days per 100,000.</w:t>
      </w:r>
    </w:p>
    <w:p w:rsidR="00EF083D" w:rsidRDefault="00D038A1">
      <w:pPr>
        <w:numPr>
          <w:ilvl w:val="0"/>
          <w:numId w:val="9"/>
        </w:numPr>
      </w:pPr>
      <w:r>
        <w:rPr>
          <w:b/>
        </w:rPr>
        <w:t>3,987</w:t>
      </w:r>
      <w:r>
        <w:t xml:space="preserve"> delayed discharges per 100,000.</w:t>
      </w:r>
    </w:p>
    <w:p w:rsidR="00EF083D" w:rsidRDefault="00D038A1">
      <w:pPr>
        <w:numPr>
          <w:ilvl w:val="0"/>
          <w:numId w:val="9"/>
        </w:numPr>
      </w:pPr>
      <w:r>
        <w:rPr>
          <w:b/>
        </w:rPr>
        <w:t>106</w:t>
      </w:r>
      <w:r>
        <w:t xml:space="preserve"> readmissions (28 day) per 1,000.</w:t>
      </w:r>
    </w:p>
    <w:p w:rsidR="00EF083D" w:rsidRDefault="00D038A1">
      <w:pPr>
        <w:pStyle w:val="Heading5"/>
      </w:pPr>
      <w:bookmarkStart w:id="187" w:name="pagebreak-6"/>
      <w:bookmarkEnd w:id="187"/>
      <w:r>
        <w:t>Pagebreak</w:t>
      </w:r>
    </w:p>
    <w:p w:rsidR="00EF083D" w:rsidRDefault="00D038A1">
      <w:pPr>
        <w:pStyle w:val="Heading3"/>
      </w:pPr>
      <w:bookmarkStart w:id="188" w:name="emergency-admissions-mh"/>
      <w:bookmarkStart w:id="189" w:name="_Toc48134857"/>
      <w:bookmarkEnd w:id="188"/>
      <w:r>
        <w:t>Emergency Admissions (MH)</w:t>
      </w:r>
      <w:bookmarkEnd w:id="189"/>
    </w:p>
    <w:p w:rsidR="00EF083D" w:rsidRDefault="00D038A1">
      <w:pPr>
        <w:pStyle w:val="Heading4"/>
      </w:pPr>
      <w:bookmarkStart w:id="190" w:name="figure-42-mh-emergency-admissions-by-age"/>
      <w:bookmarkStart w:id="191" w:name="_Toc48134858"/>
      <w:bookmarkEnd w:id="190"/>
      <w:r>
        <w:t>Figure 42: MH Emergency admissions by age group</w:t>
      </w:r>
      <w:bookmarkEnd w:id="191"/>
    </w:p>
    <w:p w:rsidR="00EF083D" w:rsidRDefault="00EF083D"/>
    <w:p w:rsidR="00EF083D" w:rsidRDefault="00D038A1">
      <w:r>
        <w:rPr>
          <w:noProof/>
          <w:lang w:eastAsia="en-GB"/>
        </w:rPr>
        <w:drawing>
          <wp:inline distT="0" distB="0" distL="0" distR="0">
            <wp:extent cx="6299200" cy="3599542"/>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6-1.png"/>
                    <pic:cNvPicPr>
                      <a:picLocks noChangeAspect="1" noChangeArrowheads="1"/>
                    </pic:cNvPicPr>
                  </pic:nvPicPr>
                  <pic:blipFill>
                    <a:blip r:embed="rId61"/>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92" w:name="figure-43-mh-emergency-admissions-by-geo"/>
      <w:bookmarkStart w:id="193" w:name="_Toc48134859"/>
      <w:bookmarkEnd w:id="192"/>
      <w:r>
        <w:t>Figure 43: MH Emergency admissions by geographical area</w:t>
      </w:r>
      <w:bookmarkEnd w:id="193"/>
    </w:p>
    <w:p w:rsidR="00EF083D" w:rsidRDefault="00EF083D"/>
    <w:p w:rsidR="00EF083D" w:rsidRDefault="00D038A1">
      <w:r>
        <w:rPr>
          <w:noProof/>
          <w:lang w:eastAsia="en-GB"/>
        </w:rPr>
        <w:drawing>
          <wp:inline distT="0" distB="0" distL="0" distR="0">
            <wp:extent cx="6299200" cy="3599542"/>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7-1.png"/>
                    <pic:cNvPicPr>
                      <a:picLocks noChangeAspect="1" noChangeArrowheads="1"/>
                    </pic:cNvPicPr>
                  </pic:nvPicPr>
                  <pic:blipFill>
                    <a:blip r:embed="rId62"/>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194" w:name="unscheduled-bed-days-mh"/>
      <w:bookmarkStart w:id="195" w:name="_Toc48134860"/>
      <w:bookmarkEnd w:id="194"/>
      <w:r>
        <w:t>Unscheduled Bed Days (MH)</w:t>
      </w:r>
      <w:bookmarkEnd w:id="195"/>
    </w:p>
    <w:p w:rsidR="00EF083D" w:rsidRDefault="00D038A1">
      <w:pPr>
        <w:pStyle w:val="Heading4"/>
      </w:pPr>
      <w:bookmarkStart w:id="196" w:name="figure-44-mh-unscheduled-bed-days-by-age"/>
      <w:bookmarkStart w:id="197" w:name="_Toc48134861"/>
      <w:bookmarkEnd w:id="196"/>
      <w:r>
        <w:t>Figure 44: MH Unscheduled bed days by age group</w:t>
      </w:r>
      <w:bookmarkEnd w:id="197"/>
    </w:p>
    <w:p w:rsidR="00EF083D" w:rsidRDefault="00EF083D"/>
    <w:p w:rsidR="00EF083D" w:rsidRDefault="00D038A1">
      <w:r>
        <w:rPr>
          <w:noProof/>
          <w:lang w:eastAsia="en-GB"/>
        </w:rPr>
        <w:drawing>
          <wp:inline distT="0" distB="0" distL="0" distR="0">
            <wp:extent cx="6299200" cy="3599542"/>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8-1.png"/>
                    <pic:cNvPicPr>
                      <a:picLocks noChangeAspect="1" noChangeArrowheads="1"/>
                    </pic:cNvPicPr>
                  </pic:nvPicPr>
                  <pic:blipFill>
                    <a:blip r:embed="rId63"/>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4"/>
      </w:pPr>
      <w:bookmarkStart w:id="198" w:name="figure-45-mh-unscheduled-bed-days-by-geo"/>
      <w:bookmarkStart w:id="199" w:name="_Toc48134862"/>
      <w:bookmarkEnd w:id="198"/>
      <w:r>
        <w:t>Figure 45: MH Unscheduled bed days by geogr</w:t>
      </w:r>
      <w:r>
        <w:t>aphical area</w:t>
      </w:r>
      <w:bookmarkEnd w:id="199"/>
    </w:p>
    <w:p w:rsidR="00EF083D" w:rsidRDefault="00EF083D"/>
    <w:p w:rsidR="00EF083D" w:rsidRDefault="00D038A1">
      <w:r>
        <w:rPr>
          <w:noProof/>
          <w:lang w:eastAsia="en-GB"/>
        </w:rPr>
        <w:drawing>
          <wp:inline distT="0" distB="0" distL="0" distR="0">
            <wp:extent cx="6299200" cy="3599542"/>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59-1.png"/>
                    <pic:cNvPicPr>
                      <a:picLocks noChangeAspect="1" noChangeArrowheads="1"/>
                    </pic:cNvPicPr>
                  </pic:nvPicPr>
                  <pic:blipFill>
                    <a:blip r:embed="rId64"/>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200" w:name="delayed-discharges-mh"/>
      <w:bookmarkStart w:id="201" w:name="_Toc48134863"/>
      <w:bookmarkEnd w:id="200"/>
      <w:r>
        <w:t>Delayed Discharges (MH)</w:t>
      </w:r>
      <w:bookmarkEnd w:id="201"/>
    </w:p>
    <w:p w:rsidR="00EF083D" w:rsidRDefault="00D038A1">
      <w:pPr>
        <w:pStyle w:val="Heading4"/>
      </w:pPr>
      <w:bookmarkStart w:id="202" w:name="figure-46-mh-delayed-discharges-by-geogr"/>
      <w:bookmarkStart w:id="203" w:name="_Toc48134864"/>
      <w:bookmarkEnd w:id="202"/>
      <w:r>
        <w:t>Figure 46: MH Delayed discharges by geographical area</w:t>
      </w:r>
      <w:bookmarkEnd w:id="203"/>
    </w:p>
    <w:p w:rsidR="00EF083D" w:rsidRDefault="00EF083D"/>
    <w:p w:rsidR="00EF083D" w:rsidRDefault="00D038A1">
      <w:r>
        <w:rPr>
          <w:noProof/>
          <w:lang w:eastAsia="en-GB"/>
        </w:rPr>
        <w:drawing>
          <wp:inline distT="0" distB="0" distL="0" distR="0">
            <wp:extent cx="6299200" cy="3599542"/>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60-1.png"/>
                    <pic:cNvPicPr>
                      <a:picLocks noChangeAspect="1" noChangeArrowheads="1"/>
                    </pic:cNvPicPr>
                  </pic:nvPicPr>
                  <pic:blipFill>
                    <a:blip r:embed="rId65"/>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3"/>
      </w:pPr>
      <w:bookmarkStart w:id="204" w:name="readmissions-within-28-days-mh"/>
      <w:bookmarkStart w:id="205" w:name="_Toc48134865"/>
      <w:bookmarkEnd w:id="204"/>
      <w:r>
        <w:t>Readmissions within 28 days (MH)</w:t>
      </w:r>
      <w:bookmarkEnd w:id="205"/>
    </w:p>
    <w:p w:rsidR="00EF083D" w:rsidRDefault="00D038A1">
      <w:pPr>
        <w:pStyle w:val="Heading4"/>
      </w:pPr>
      <w:bookmarkStart w:id="206" w:name="figure-47-mh-readmissions-by-geographica"/>
      <w:bookmarkStart w:id="207" w:name="_Toc48134866"/>
      <w:bookmarkEnd w:id="206"/>
      <w:r>
        <w:t>Figure 47: MH readmissions by geographical area</w:t>
      </w:r>
      <w:bookmarkEnd w:id="207"/>
    </w:p>
    <w:p w:rsidR="00EF083D" w:rsidRDefault="00EF083D"/>
    <w:p w:rsidR="00EF083D" w:rsidRDefault="00D038A1">
      <w:r>
        <w:rPr>
          <w:noProof/>
          <w:lang w:eastAsia="en-GB"/>
        </w:rPr>
        <w:drawing>
          <wp:inline distT="0" distB="0" distL="0" distR="0">
            <wp:extent cx="6299200" cy="3599542"/>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0" name="Picture" descr="/conf/LIST_analytics/West%20Hub/02%20-%20Scaled%20Up%20Work/RMarkdown/Locality%20Profiles/Master%20RMarkdown%20Document%20&amp;%20Render%20Code/Output/Northern%20-%20Locality%20Profile_files/figure-docx/unnamed-chunk-61-1.png"/>
                    <pic:cNvPicPr>
                      <a:picLocks noChangeAspect="1" noChangeArrowheads="1"/>
                    </pic:cNvPicPr>
                  </pic:nvPicPr>
                  <pic:blipFill>
                    <a:blip r:embed="rId66"/>
                    <a:stretch>
                      <a:fillRect/>
                    </a:stretch>
                  </pic:blipFill>
                  <pic:spPr bwMode="auto">
                    <a:xfrm>
                      <a:off x="0" y="0"/>
                      <a:ext cx="6299200" cy="3599542"/>
                    </a:xfrm>
                    <a:prstGeom prst="rect">
                      <a:avLst/>
                    </a:prstGeom>
                    <a:noFill/>
                    <a:ln w="9525">
                      <a:noFill/>
                      <a:headEnd/>
                      <a:tailEnd/>
                    </a:ln>
                  </pic:spPr>
                </pic:pic>
              </a:graphicData>
            </a:graphic>
          </wp:inline>
        </w:drawing>
      </w:r>
    </w:p>
    <w:p w:rsidR="00EF083D" w:rsidRDefault="00D038A1">
      <w:pPr>
        <w:pStyle w:val="Heading5"/>
      </w:pPr>
      <w:bookmarkStart w:id="208" w:name="page-break-12"/>
      <w:bookmarkEnd w:id="208"/>
      <w:r>
        <w:t>Page Break</w:t>
      </w:r>
    </w:p>
    <w:p w:rsidR="00EF083D" w:rsidRDefault="00D038A1">
      <w:pPr>
        <w:pStyle w:val="Heading3"/>
      </w:pPr>
      <w:bookmarkStart w:id="209" w:name="footnotes"/>
      <w:bookmarkStart w:id="210" w:name="_Toc48134867"/>
      <w:bookmarkEnd w:id="209"/>
      <w:r>
        <w:t>Footnotes</w:t>
      </w:r>
      <w:bookmarkEnd w:id="210"/>
    </w:p>
    <w:p w:rsidR="00EF083D" w:rsidRDefault="00D038A1">
      <w:pPr>
        <w:numPr>
          <w:ilvl w:val="0"/>
          <w:numId w:val="10"/>
        </w:numPr>
      </w:pPr>
      <w:r>
        <w:t>Population projections are not currently provided by NRS at the locality level. To explore how the population in Northern is expected to change in the future, the percent changes in population projection to 2025 for East Ayrshire by age group and gender we</w:t>
      </w:r>
      <w:r>
        <w:t>re calculated from the NRS Local Authority Population Projections. These percent changes were then applied to the Northern 2018 mid-year population estimates (also split by age group and gender) to obtain population projection estimates for Northern, based</w:t>
      </w:r>
      <w:r>
        <w:t xml:space="preserve"> on the projections for the HSCP and the current population structure of the locality.</w:t>
      </w:r>
    </w:p>
    <w:p w:rsidR="00EF083D" w:rsidRDefault="00D038A1">
      <w:pPr>
        <w:numPr>
          <w:ilvl w:val="0"/>
          <w:numId w:val="10"/>
        </w:numPr>
      </w:pPr>
      <w:r>
        <w:t xml:space="preserve">Care Home Data included in the Services Map and Table was sourced from the </w:t>
      </w:r>
      <w:hyperlink r:id="rId67">
        <w:r>
          <w:rPr>
            <w:rStyle w:val="Hyperlink"/>
          </w:rPr>
          <w:t>Care Inspectorate</w:t>
        </w:r>
      </w:hyperlink>
      <w:r>
        <w:t xml:space="preserve">. </w:t>
      </w:r>
      <w:hyperlink r:id="rId68">
        <w:r>
          <w:rPr>
            <w:rStyle w:val="Hyperlink"/>
          </w:rPr>
          <w:t>GP Practice</w:t>
        </w:r>
      </w:hyperlink>
      <w:r>
        <w:t xml:space="preserve"> data from April 2020, and </w:t>
      </w:r>
      <w:hyperlink r:id="rId69">
        <w:r>
          <w:rPr>
            <w:rStyle w:val="Hyperlink"/>
          </w:rPr>
          <w:t>Hospital</w:t>
        </w:r>
      </w:hyperlink>
      <w:r>
        <w:t xml:space="preserve"> and </w:t>
      </w:r>
      <w:hyperlink r:id="rId70">
        <w:r>
          <w:rPr>
            <w:rStyle w:val="Hyperlink"/>
          </w:rPr>
          <w:t>A&amp;E</w:t>
        </w:r>
      </w:hyperlink>
      <w:r>
        <w:t xml:space="preserve"> data was sourced from Public Health Scotland Open Data. Only services that are within the physical boundary of the HSCP or Locality are included in the map and t</w:t>
      </w:r>
      <w:r>
        <w:t>able, so there may be services outside East Ayrshire which people may use but are not shown.</w:t>
      </w:r>
    </w:p>
    <w:p w:rsidR="00EF083D" w:rsidRDefault="00D038A1">
      <w:pPr>
        <w:numPr>
          <w:ilvl w:val="0"/>
          <w:numId w:val="10"/>
        </w:numPr>
      </w:pPr>
      <w:r>
        <w:t xml:space="preserve">The data used in General Health and Lifestyle &amp; Risk factors sections (except for long-term conditions) of this locality profile are taken from </w:t>
      </w:r>
      <w:hyperlink r:id="rId71">
        <w:r>
          <w:rPr>
            <w:rStyle w:val="Hyperlink"/>
          </w:rPr>
          <w:t>ScotPHO</w:t>
        </w:r>
      </w:hyperlink>
      <w:r>
        <w:t>. There may be more recent data available for the indicators elsewhere.</w:t>
      </w:r>
    </w:p>
    <w:p w:rsidR="00EF083D" w:rsidRDefault="00D038A1">
      <w:pPr>
        <w:numPr>
          <w:ilvl w:val="0"/>
          <w:numId w:val="10"/>
        </w:numPr>
      </w:pPr>
      <w:r>
        <w:t>Data taken from ScotPHO is often reported using the European Age-Sex Standardised Rate per 100,000. This allows for comparis</w:t>
      </w:r>
      <w:r>
        <w:t xml:space="preserve">ons across different areas to be made. For more information on how these rates are calculated, please refer to </w:t>
      </w:r>
      <w:hyperlink r:id="rId72">
        <w:r>
          <w:rPr>
            <w:rStyle w:val="Hyperlink"/>
          </w:rPr>
          <w:t>www.isdscotland.org/Products-an</w:t>
        </w:r>
        <w:r>
          <w:rPr>
            <w:rStyle w:val="Hyperlink"/>
          </w:rPr>
          <w:t>d-Services/GPD-Support/Population/Standard-Populations/</w:t>
        </w:r>
      </w:hyperlink>
    </w:p>
    <w:p w:rsidR="00EF083D" w:rsidRDefault="00D038A1">
      <w:pPr>
        <w:numPr>
          <w:ilvl w:val="0"/>
          <w:numId w:val="10"/>
        </w:numPr>
      </w:pPr>
      <w:r>
        <w:t>Physical long-term conditions data comes from the Source Linkage Files, and the conditions are identified using ICD-9 and ICD-10 codes in the diagnosis fields. Please note that the Source Linkage File</w:t>
      </w:r>
      <w:r>
        <w:t>s data only contains information on people who have had contact with the NHS through either inpatient admissions, outpatient attendances, daycase attendances, A&amp;E attendances or through prescribed items, the data does not show all service users in Scotland</w:t>
      </w:r>
      <w:r>
        <w:t xml:space="preserve"> who have been diagnosed with an LTC as not all of these individuals will have used these services. Also note that LTC rates are based on an adjusted population indicator in the Source Linkage Files so that population sizes are closer to the official estim</w:t>
      </w:r>
      <w:r>
        <w:t>ates.</w:t>
      </w:r>
    </w:p>
    <w:p w:rsidR="00EF083D" w:rsidRDefault="00D038A1">
      <w:pPr>
        <w:pStyle w:val="Heading5"/>
      </w:pPr>
      <w:bookmarkStart w:id="211" w:name="page-break-13"/>
      <w:bookmarkEnd w:id="211"/>
      <w:r>
        <w:t>Page Break</w:t>
      </w:r>
    </w:p>
    <w:p w:rsidR="00EF083D" w:rsidRDefault="00D038A1">
      <w:pPr>
        <w:pStyle w:val="Heading2"/>
      </w:pPr>
      <w:bookmarkStart w:id="212" w:name="appendices"/>
      <w:bookmarkStart w:id="213" w:name="_Toc48134868"/>
      <w:bookmarkEnd w:id="212"/>
      <w:r>
        <w:t>Appendices</w:t>
      </w:r>
      <w:bookmarkEnd w:id="213"/>
    </w:p>
    <w:p w:rsidR="00EF083D" w:rsidRDefault="00D038A1">
      <w:pPr>
        <w:pStyle w:val="Heading3"/>
      </w:pPr>
      <w:bookmarkStart w:id="214" w:name="appendix-1-indicator-definitions"/>
      <w:bookmarkStart w:id="215" w:name="_Toc48134869"/>
      <w:bookmarkEnd w:id="214"/>
      <w:r>
        <w:t>Appendix 1: Indicator Definitions</w:t>
      </w:r>
      <w:bookmarkEnd w:id="215"/>
    </w:p>
    <w:p w:rsidR="00EF083D" w:rsidRDefault="00EF083D"/>
    <w:tbl>
      <w:tblPr>
        <w:tblStyle w:val="ISDPubsTables"/>
        <w:tblW w:w="5000" w:type="pct"/>
        <w:tblLook w:val="04A0" w:firstRow="1" w:lastRow="0" w:firstColumn="1" w:lastColumn="0" w:noHBand="0" w:noVBand="1"/>
      </w:tblPr>
      <w:tblGrid>
        <w:gridCol w:w="2782"/>
        <w:gridCol w:w="7355"/>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Indicator</w:t>
            </w:r>
          </w:p>
        </w:tc>
        <w:tc>
          <w:tcPr>
            <w:tcW w:w="0" w:type="auto"/>
          </w:tcPr>
          <w:p w:rsidR="00EF083D" w:rsidRDefault="00D038A1" w:rsidP="00D038A1">
            <w:pPr>
              <w:jc w:val="left"/>
            </w:pPr>
            <w:r>
              <w:t>Definition</w:t>
            </w:r>
          </w:p>
        </w:tc>
      </w:tr>
      <w:tr w:rsidR="00EF083D" w:rsidTr="00D038A1">
        <w:tc>
          <w:tcPr>
            <w:tcW w:w="0" w:type="auto"/>
          </w:tcPr>
          <w:p w:rsidR="00EF083D" w:rsidRDefault="00D038A1" w:rsidP="00D038A1">
            <w:pPr>
              <w:jc w:val="left"/>
            </w:pPr>
            <w:r>
              <w:rPr>
                <w:b/>
              </w:rPr>
              <w:t>% last 6 months of Life Spent in a Community Setting </w:t>
            </w:r>
          </w:p>
        </w:tc>
        <w:tc>
          <w:tcPr>
            <w:tcW w:w="0" w:type="auto"/>
          </w:tcPr>
          <w:p w:rsidR="00EF083D" w:rsidRDefault="00D038A1" w:rsidP="00D038A1">
            <w:pPr>
              <w:jc w:val="left"/>
            </w:pPr>
            <w:r>
              <w:t>The percentage of time spent by people in their last 6 months of life in the community. Community includes care home residents as well as those living in their own home. Considers all hospital activity (e.g. geriatric long stay (GLS), mental health, acute)</w:t>
            </w:r>
            <w:r>
              <w:t>. Inpatient activity with a care home location code recorded in SMR is included within the Community percentage for all years presented. This activity represents beds funded by the NHS which are located within a care home.</w:t>
            </w:r>
          </w:p>
        </w:tc>
      </w:tr>
      <w:tr w:rsidR="00EF083D" w:rsidTr="00D038A1">
        <w:tc>
          <w:tcPr>
            <w:tcW w:w="0" w:type="auto"/>
          </w:tcPr>
          <w:p w:rsidR="00EF083D" w:rsidRDefault="00D038A1" w:rsidP="00D038A1">
            <w:pPr>
              <w:jc w:val="left"/>
            </w:pPr>
            <w:r>
              <w:rPr>
                <w:b/>
              </w:rPr>
              <w:t>A&amp;E Attendances</w:t>
            </w:r>
          </w:p>
        </w:tc>
        <w:tc>
          <w:tcPr>
            <w:tcW w:w="0" w:type="auto"/>
          </w:tcPr>
          <w:p w:rsidR="00EF083D" w:rsidRDefault="00D038A1" w:rsidP="00D038A1">
            <w:pPr>
              <w:jc w:val="left"/>
            </w:pPr>
            <w:r>
              <w:t>Attendance rates</w:t>
            </w:r>
            <w:r>
              <w:t xml:space="preserve"> to A&amp;E departments for patients by residence per 100,000 population. Includes all ages. </w:t>
            </w:r>
          </w:p>
        </w:tc>
      </w:tr>
      <w:tr w:rsidR="00EF083D" w:rsidTr="00D038A1">
        <w:tc>
          <w:tcPr>
            <w:tcW w:w="0" w:type="auto"/>
          </w:tcPr>
          <w:p w:rsidR="00EF083D" w:rsidRDefault="00D038A1" w:rsidP="00D038A1">
            <w:pPr>
              <w:jc w:val="left"/>
            </w:pPr>
            <w:r>
              <w:rPr>
                <w:b/>
              </w:rPr>
              <w:t>Alcohol-related hospital admissions</w:t>
            </w:r>
          </w:p>
        </w:tc>
        <w:tc>
          <w:tcPr>
            <w:tcW w:w="0" w:type="auto"/>
          </w:tcPr>
          <w:p w:rsidR="00EF083D" w:rsidRDefault="00D038A1" w:rsidP="00D038A1">
            <w:pPr>
              <w:jc w:val="left"/>
            </w:pPr>
            <w:r>
              <w:t>General acute inpatient and day case stays with diagnosis of alcohol misuse in any diagnostic position (ICD-10 code: E24.4, E51.2</w:t>
            </w:r>
            <w:r>
              <w:t>, F10, G31.2, G62.1, G72.1, I42.6, K29.2, K70, K85.2, K86.0, O35.4, P04.3, Q86.0, R78.0, T51.0, T51.1, T51.9, X45, X65, Y15, Y57.3, Y90, Y91, Z50.2, Z71.4, Z72.1). All rates have been standardised against the European standard population (ESP2013) and 2011</w:t>
            </w:r>
            <w:r>
              <w:t>-based population estimates.</w:t>
            </w:r>
          </w:p>
        </w:tc>
      </w:tr>
      <w:tr w:rsidR="00EF083D" w:rsidTr="00D038A1">
        <w:tc>
          <w:tcPr>
            <w:tcW w:w="0" w:type="auto"/>
          </w:tcPr>
          <w:p w:rsidR="00EF083D" w:rsidRDefault="00D038A1" w:rsidP="00D038A1">
            <w:pPr>
              <w:jc w:val="left"/>
            </w:pPr>
            <w:r>
              <w:rPr>
                <w:b/>
              </w:rPr>
              <w:t>Alcohol-specific deaths</w:t>
            </w:r>
          </w:p>
        </w:tc>
        <w:tc>
          <w:tcPr>
            <w:tcW w:w="0" w:type="auto"/>
          </w:tcPr>
          <w:p w:rsidR="00EF083D" w:rsidRDefault="00D038A1" w:rsidP="00D038A1">
            <w:pPr>
              <w:jc w:val="left"/>
            </w:pPr>
            <w:r>
              <w:t>Alcohol related deaths (based on new National Statistics definition): 5-year rolling average number and directly age-sex standardised rate per 100,000 population. (ICD-10 codes from the primary cause of</w:t>
            </w:r>
            <w:r>
              <w:t xml:space="preserve"> death: E24.4,F10,G31.2,G62.1,G72.1,I42.6,K29.2,K70,K85.2,K86.0,Q86.0,R78.0,X45,X65,Y15).</w:t>
            </w:r>
          </w:p>
        </w:tc>
      </w:tr>
      <w:tr w:rsidR="00EF083D" w:rsidTr="00D038A1">
        <w:tc>
          <w:tcPr>
            <w:tcW w:w="0" w:type="auto"/>
          </w:tcPr>
          <w:p w:rsidR="00EF083D" w:rsidRDefault="00D038A1" w:rsidP="00D038A1">
            <w:pPr>
              <w:jc w:val="left"/>
            </w:pPr>
            <w:r>
              <w:rPr>
                <w:b/>
              </w:rPr>
              <w:t>Bowel Screening Uptake</w:t>
            </w:r>
          </w:p>
        </w:tc>
        <w:tc>
          <w:tcPr>
            <w:tcW w:w="0" w:type="auto"/>
          </w:tcPr>
          <w:p w:rsidR="00EF083D" w:rsidRDefault="00D038A1" w:rsidP="00D038A1">
            <w:pPr>
              <w:jc w:val="left"/>
            </w:pPr>
            <w:r>
              <w:t>Bowel screening uptake for all eligible men and women invited (aged 50-74): 3-year rolling average number percentage. Eligible men and women a</w:t>
            </w:r>
            <w:r>
              <w:t>re posted a guaiac-based faecal occult blood test kit (FOBT) which should be completed at home. This involves collecting 2 samples from each of 3 separate bowel movements. The kit is returned in a pre paid envelope to the central screening centre in Dundee</w:t>
            </w:r>
            <w:r>
              <w:t xml:space="preserve"> and tested for hidden traces of blood in the stool. Individuals who have a positive FOBT result are referred to their local hospital for assessment and, where appropriate, offered a colonoscopy as the first line of investigation.</w:t>
            </w:r>
          </w:p>
        </w:tc>
      </w:tr>
      <w:tr w:rsidR="00EF083D" w:rsidTr="00D038A1">
        <w:tc>
          <w:tcPr>
            <w:tcW w:w="0" w:type="auto"/>
          </w:tcPr>
          <w:p w:rsidR="00EF083D" w:rsidRDefault="00D038A1" w:rsidP="00D038A1">
            <w:pPr>
              <w:jc w:val="left"/>
            </w:pPr>
            <w:r>
              <w:rPr>
                <w:b/>
              </w:rPr>
              <w:t>Cancer Registrations</w:t>
            </w:r>
          </w:p>
        </w:tc>
        <w:tc>
          <w:tcPr>
            <w:tcW w:w="0" w:type="auto"/>
          </w:tcPr>
          <w:p w:rsidR="00EF083D" w:rsidRDefault="00D038A1" w:rsidP="00D038A1">
            <w:pPr>
              <w:jc w:val="left"/>
            </w:pPr>
            <w:r>
              <w:t>New</w:t>
            </w:r>
            <w:r>
              <w:t xml:space="preserve"> cancer registrations: 3 year rolling average number and directly age-sex standardised rate per 100,000 population. All rates have been standardised against the European standard population (ESP2013) and 2011-base population estimates. ICD10: C00-C96 exclu</w:t>
            </w:r>
            <w:r>
              <w:t>ding C44 (principal diagnosis only).</w:t>
            </w:r>
          </w:p>
        </w:tc>
      </w:tr>
      <w:tr w:rsidR="00EF083D" w:rsidTr="00D038A1">
        <w:tc>
          <w:tcPr>
            <w:tcW w:w="0" w:type="auto"/>
          </w:tcPr>
          <w:p w:rsidR="00EF083D" w:rsidRDefault="00D038A1" w:rsidP="00D038A1">
            <w:pPr>
              <w:jc w:val="left"/>
            </w:pPr>
            <w:r>
              <w:rPr>
                <w:b/>
              </w:rPr>
              <w:t>Death, aged 15-44</w:t>
            </w:r>
          </w:p>
        </w:tc>
        <w:tc>
          <w:tcPr>
            <w:tcW w:w="0" w:type="auto"/>
          </w:tcPr>
          <w:p w:rsidR="00EF083D" w:rsidRDefault="00D038A1" w:rsidP="00D038A1">
            <w:pPr>
              <w:jc w:val="left"/>
            </w:pPr>
            <w:r>
              <w:t>Deaths from all causes (ages 15-44 years), 3 year rolling average number and directly age sex standardised rate per 100,000 population. All rates have been standardised against the European standard population (ESP2013). Deaths assigned to year based on de</w:t>
            </w:r>
            <w:r>
              <w:t>ath registration date.</w:t>
            </w:r>
          </w:p>
        </w:tc>
      </w:tr>
      <w:tr w:rsidR="00EF083D" w:rsidTr="00D038A1">
        <w:tc>
          <w:tcPr>
            <w:tcW w:w="0" w:type="auto"/>
          </w:tcPr>
          <w:p w:rsidR="00EF083D" w:rsidRDefault="00D038A1" w:rsidP="00D038A1">
            <w:pPr>
              <w:jc w:val="left"/>
            </w:pPr>
            <w:r>
              <w:rPr>
                <w:b/>
              </w:rPr>
              <w:t>Delayed Discharges</w:t>
            </w:r>
          </w:p>
        </w:tc>
        <w:tc>
          <w:tcPr>
            <w:tcW w:w="0" w:type="auto"/>
          </w:tcPr>
          <w:p w:rsidR="00EF083D" w:rsidRDefault="00D038A1" w:rsidP="00D038A1">
            <w:pPr>
              <w:jc w:val="left"/>
            </w:pPr>
            <w:r>
              <w:t>Number of days people aged over 18 spend in hospital when they are ready to be discharged per 100,000 population. This has been separated into two indicators – one for acute specialty and one for mental health spe</w:t>
            </w:r>
            <w:r>
              <w:t>cialty stays.</w:t>
            </w:r>
          </w:p>
        </w:tc>
      </w:tr>
      <w:tr w:rsidR="00EF083D" w:rsidTr="00D038A1">
        <w:tc>
          <w:tcPr>
            <w:tcW w:w="0" w:type="auto"/>
          </w:tcPr>
          <w:p w:rsidR="00EF083D" w:rsidRDefault="00D038A1" w:rsidP="00D038A1">
            <w:pPr>
              <w:jc w:val="left"/>
            </w:pPr>
            <w:r>
              <w:rPr>
                <w:b/>
              </w:rPr>
              <w:t>Drug-related hospital admissions</w:t>
            </w:r>
          </w:p>
        </w:tc>
        <w:tc>
          <w:tcPr>
            <w:tcW w:w="0" w:type="auto"/>
          </w:tcPr>
          <w:p w:rsidR="00EF083D" w:rsidRDefault="00D038A1" w:rsidP="00D038A1">
            <w:pPr>
              <w:jc w:val="left"/>
            </w:pPr>
            <w:r>
              <w:t>General acute inpatient and day case stays with diagnosis of drug misuse in any diagnostic position (ICD10: F11-F16, F18, F19, T40.0-T40.9), 3-year rolling average number and directly age-sex standardised rat</w:t>
            </w:r>
            <w:r>
              <w:t>e per 100,000 population. All rates have been standardised against the European standard population (ESP2013) and 2011-based population estimates.</w:t>
            </w:r>
          </w:p>
        </w:tc>
      </w:tr>
      <w:tr w:rsidR="00EF083D" w:rsidTr="00D038A1">
        <w:tc>
          <w:tcPr>
            <w:tcW w:w="0" w:type="auto"/>
          </w:tcPr>
          <w:p w:rsidR="00EF083D" w:rsidRDefault="00D038A1" w:rsidP="00D038A1">
            <w:pPr>
              <w:jc w:val="left"/>
            </w:pPr>
            <w:r>
              <w:rPr>
                <w:b/>
              </w:rPr>
              <w:t>Emergency Admissions</w:t>
            </w:r>
          </w:p>
        </w:tc>
        <w:tc>
          <w:tcPr>
            <w:tcW w:w="0" w:type="auto"/>
          </w:tcPr>
          <w:p w:rsidR="00EF083D" w:rsidRDefault="00D038A1" w:rsidP="00D038A1">
            <w:pPr>
              <w:jc w:val="left"/>
            </w:pPr>
            <w:r>
              <w:t>Rate of acute emergency (non-elective) admissions of patients of all ages per 100,000 p</w:t>
            </w:r>
            <w:r>
              <w:t>opulation. This has been separated into two indicators – one for acute specialty and one for mental health specialty stays. </w:t>
            </w:r>
          </w:p>
        </w:tc>
      </w:tr>
      <w:tr w:rsidR="00EF083D" w:rsidTr="00D038A1">
        <w:tc>
          <w:tcPr>
            <w:tcW w:w="0" w:type="auto"/>
          </w:tcPr>
          <w:p w:rsidR="00EF083D" w:rsidRDefault="00D038A1" w:rsidP="00D038A1">
            <w:pPr>
              <w:jc w:val="left"/>
            </w:pPr>
            <w:r>
              <w:rPr>
                <w:b/>
              </w:rPr>
              <w:t>Fall Admissions</w:t>
            </w:r>
          </w:p>
        </w:tc>
        <w:tc>
          <w:tcPr>
            <w:tcW w:w="0" w:type="auto"/>
          </w:tcPr>
          <w:p w:rsidR="00EF083D" w:rsidRDefault="00D038A1" w:rsidP="00D038A1">
            <w:pPr>
              <w:jc w:val="left"/>
            </w:pPr>
            <w:r>
              <w:t>Rates of emergency admissions (non-elective) of patients of all ages where a fall has been logged as an ICD-10 cod</w:t>
            </w:r>
            <w:r>
              <w:t>e (searched for in all diagnostic positions) – acute specialties only. </w:t>
            </w:r>
          </w:p>
        </w:tc>
      </w:tr>
      <w:tr w:rsidR="00EF083D" w:rsidTr="00D038A1">
        <w:tc>
          <w:tcPr>
            <w:tcW w:w="0" w:type="auto"/>
          </w:tcPr>
          <w:p w:rsidR="00EF083D" w:rsidRDefault="00D038A1" w:rsidP="00D038A1">
            <w:pPr>
              <w:jc w:val="left"/>
            </w:pPr>
            <w:r>
              <w:rPr>
                <w:b/>
              </w:rPr>
              <w:t>Life expectancy, females</w:t>
            </w:r>
          </w:p>
        </w:tc>
        <w:tc>
          <w:tcPr>
            <w:tcW w:w="0" w:type="auto"/>
          </w:tcPr>
          <w:p w:rsidR="00EF083D" w:rsidRDefault="00D038A1" w:rsidP="00D038A1">
            <w:pPr>
              <w:jc w:val="left"/>
            </w:pPr>
            <w:r>
              <w:t>Estimated female life expectancy at birth in years, multi-year average (over 3 years for NHS Boards and Local Authorities, 5 years for Intermediate zones) Mor</w:t>
            </w:r>
            <w:r>
              <w:t>tality data are based on year of registration. They also include non-Scottish residence so the number of deaths match those produced by NRS.</w:t>
            </w:r>
          </w:p>
        </w:tc>
      </w:tr>
      <w:tr w:rsidR="00EF083D" w:rsidTr="00D038A1">
        <w:tc>
          <w:tcPr>
            <w:tcW w:w="0" w:type="auto"/>
          </w:tcPr>
          <w:p w:rsidR="00EF083D" w:rsidRDefault="00D038A1" w:rsidP="00D038A1">
            <w:pPr>
              <w:jc w:val="left"/>
            </w:pPr>
            <w:r>
              <w:rPr>
                <w:b/>
              </w:rPr>
              <w:t>Life Expectancy, males</w:t>
            </w:r>
          </w:p>
        </w:tc>
        <w:tc>
          <w:tcPr>
            <w:tcW w:w="0" w:type="auto"/>
          </w:tcPr>
          <w:p w:rsidR="00EF083D" w:rsidRDefault="00D038A1" w:rsidP="00D038A1">
            <w:pPr>
              <w:jc w:val="left"/>
            </w:pPr>
            <w:r>
              <w:t xml:space="preserve">Estimated male life expectancy at birth in years, multi-year average (over 3 years for NHS </w:t>
            </w:r>
            <w:r>
              <w:t>Boards and Local Authorities, 5 years for Intermediate zones) Mortality data are based on year of registration. They also include non-Scottish residence so the number of deaths match those produced by NRS.</w:t>
            </w:r>
          </w:p>
        </w:tc>
      </w:tr>
      <w:tr w:rsidR="00EF083D" w:rsidTr="00D038A1">
        <w:tc>
          <w:tcPr>
            <w:tcW w:w="0" w:type="auto"/>
          </w:tcPr>
          <w:p w:rsidR="00EF083D" w:rsidRDefault="00D038A1" w:rsidP="00D038A1">
            <w:pPr>
              <w:jc w:val="left"/>
            </w:pPr>
            <w:r>
              <w:rPr>
                <w:b/>
              </w:rPr>
              <w:t>Physical Long-Term Conditions</w:t>
            </w:r>
          </w:p>
        </w:tc>
        <w:tc>
          <w:tcPr>
            <w:tcW w:w="0" w:type="auto"/>
          </w:tcPr>
          <w:p w:rsidR="00EF083D" w:rsidRDefault="00D038A1" w:rsidP="00D038A1">
            <w:pPr>
              <w:jc w:val="left"/>
            </w:pPr>
            <w:r>
              <w:t>Health conditions t</w:t>
            </w:r>
            <w:r>
              <w:t>hat last a year or longer, impact a person's life, and may require ongoing care and support. The LTCs presented are: Arthritis, Atrial Fibrillation, Cancer, Coronary Heart Disease, Chronic Obstructive Pulmonary Disease (COPD), Cerebrovascular Disease, Deme</w:t>
            </w:r>
            <w:r>
              <w:t>ntia, Diabetes, Epilepsy, Heart Failure, Liver Failure, Multiple Sclerosis, Parkinson's, and Renal Failure.</w:t>
            </w:r>
          </w:p>
        </w:tc>
      </w:tr>
      <w:tr w:rsidR="00EF083D" w:rsidTr="00D038A1">
        <w:tc>
          <w:tcPr>
            <w:tcW w:w="0" w:type="auto"/>
          </w:tcPr>
          <w:p w:rsidR="00EF083D" w:rsidRDefault="00D038A1" w:rsidP="00D038A1">
            <w:pPr>
              <w:jc w:val="left"/>
            </w:pPr>
            <w:r>
              <w:rPr>
                <w:b/>
              </w:rPr>
              <w:t>Population prescribed drugs for anxiety/depression/psychosis</w:t>
            </w:r>
          </w:p>
        </w:tc>
        <w:tc>
          <w:tcPr>
            <w:tcW w:w="0" w:type="auto"/>
          </w:tcPr>
          <w:p w:rsidR="00EF083D" w:rsidRDefault="00D038A1" w:rsidP="00D038A1">
            <w:pPr>
              <w:jc w:val="left"/>
            </w:pPr>
            <w:r>
              <w:t>Estimated number and percentage of population being prescribed drugs for anxiety, depression or psychosis.</w:t>
            </w:r>
          </w:p>
        </w:tc>
      </w:tr>
      <w:tr w:rsidR="00EF083D" w:rsidTr="00D038A1">
        <w:tc>
          <w:tcPr>
            <w:tcW w:w="0" w:type="auto"/>
          </w:tcPr>
          <w:p w:rsidR="00EF083D" w:rsidRDefault="00D038A1" w:rsidP="00D038A1">
            <w:pPr>
              <w:jc w:val="left"/>
            </w:pPr>
            <w:r>
              <w:rPr>
                <w:b/>
              </w:rPr>
              <w:t>Potentially Preventable Admissions (PPA)</w:t>
            </w:r>
          </w:p>
        </w:tc>
        <w:tc>
          <w:tcPr>
            <w:tcW w:w="0" w:type="auto"/>
          </w:tcPr>
          <w:p w:rsidR="00EF083D" w:rsidRDefault="00D038A1" w:rsidP="00D038A1">
            <w:pPr>
              <w:jc w:val="left"/>
            </w:pPr>
            <w:r>
              <w:t>Emergency admissions (non-elective) of patients of all ages where specific diagnoses are assigned as preven</w:t>
            </w:r>
            <w:r>
              <w:t>tative - please see complete list of ICD-10 codes included in Appendix 2. </w:t>
            </w:r>
          </w:p>
        </w:tc>
      </w:tr>
      <w:tr w:rsidR="00EF083D" w:rsidTr="00D038A1">
        <w:tc>
          <w:tcPr>
            <w:tcW w:w="0" w:type="auto"/>
          </w:tcPr>
          <w:p w:rsidR="00EF083D" w:rsidRDefault="00D038A1" w:rsidP="00D038A1">
            <w:pPr>
              <w:jc w:val="left"/>
            </w:pPr>
            <w:r>
              <w:rPr>
                <w:b/>
              </w:rPr>
              <w:t>Readmissions (28 day)</w:t>
            </w:r>
          </w:p>
        </w:tc>
        <w:tc>
          <w:tcPr>
            <w:tcW w:w="0" w:type="auto"/>
          </w:tcPr>
          <w:p w:rsidR="00EF083D" w:rsidRDefault="00D038A1" w:rsidP="00D038A1">
            <w:pPr>
              <w:jc w:val="left"/>
            </w:pPr>
            <w:r>
              <w:t xml:space="preserve">The rate of readmissions of all adults (18+) within 28 days of an emergency admission per 1,000 discharges. This has been separated into two indicators – one </w:t>
            </w:r>
            <w:r>
              <w:t>for acute specialty and one for mental health specialty stays.</w:t>
            </w:r>
          </w:p>
        </w:tc>
      </w:tr>
      <w:tr w:rsidR="00EF083D" w:rsidTr="00D038A1">
        <w:tc>
          <w:tcPr>
            <w:tcW w:w="0" w:type="auto"/>
          </w:tcPr>
          <w:p w:rsidR="00EF083D" w:rsidRDefault="00D038A1" w:rsidP="00D038A1">
            <w:pPr>
              <w:jc w:val="left"/>
            </w:pPr>
            <w:r>
              <w:rPr>
                <w:b/>
              </w:rPr>
              <w:t>Unscheduled Bed days</w:t>
            </w:r>
          </w:p>
        </w:tc>
        <w:tc>
          <w:tcPr>
            <w:tcW w:w="0" w:type="auto"/>
          </w:tcPr>
          <w:p w:rsidR="00EF083D" w:rsidRDefault="00D038A1" w:rsidP="00D038A1">
            <w:pPr>
              <w:jc w:val="left"/>
            </w:pPr>
            <w:r>
              <w:t>Rate of acute unscheduled bed days of patients of all ages per 100,000 population. Takes the bed days spent only within the year of measurement – stays that overlap financ</w:t>
            </w:r>
            <w:r>
              <w:t>ial years will have their respective days counted either side. This has been separated into two indicators – one for acute speciality and one for mental health specialty stays.</w:t>
            </w:r>
          </w:p>
        </w:tc>
      </w:tr>
      <w:tr w:rsidR="00EF083D" w:rsidTr="00D038A1">
        <w:tc>
          <w:tcPr>
            <w:tcW w:w="0" w:type="auto"/>
          </w:tcPr>
          <w:p w:rsidR="00EF083D" w:rsidRDefault="00D038A1" w:rsidP="00D038A1">
            <w:pPr>
              <w:jc w:val="left"/>
            </w:pPr>
            <w:r>
              <w:rPr>
                <w:b/>
              </w:rPr>
              <w:t>Unscheduled Care in Mental Health Hospitals</w:t>
            </w:r>
          </w:p>
        </w:tc>
        <w:tc>
          <w:tcPr>
            <w:tcW w:w="0" w:type="auto"/>
          </w:tcPr>
          <w:p w:rsidR="00EF083D" w:rsidRDefault="00D038A1" w:rsidP="00D038A1">
            <w:pPr>
              <w:jc w:val="left"/>
            </w:pPr>
            <w:r>
              <w:t>Mental health admission data is ta</w:t>
            </w:r>
            <w:r>
              <w:t xml:space="preserve">ken from SMR04, which holds records on patients receiving inpatient care in mental health (psychiatric) facilities. Episodes beginning with a transfer have also been included in these figures, as well as emergency admissions as many of these episodes will </w:t>
            </w:r>
            <w:r>
              <w:t>have started as unplanned acute admission. Therefore the initial unscheduled admission need not have been to a mental health long stay speciality.</w:t>
            </w:r>
          </w:p>
        </w:tc>
      </w:tr>
    </w:tbl>
    <w:p w:rsidR="00EF083D" w:rsidRDefault="00D038A1">
      <w:pPr>
        <w:pStyle w:val="Heading5"/>
      </w:pPr>
      <w:bookmarkStart w:id="216" w:name="page-break-14"/>
      <w:bookmarkEnd w:id="216"/>
      <w:r>
        <w:t>Page Break</w:t>
      </w:r>
    </w:p>
    <w:p w:rsidR="00EF083D" w:rsidRDefault="00D038A1">
      <w:pPr>
        <w:pStyle w:val="Heading3"/>
      </w:pPr>
      <w:bookmarkStart w:id="217" w:name="appendix-2-conditions-included-as-potent"/>
      <w:bookmarkStart w:id="218" w:name="_Toc48134870"/>
      <w:bookmarkEnd w:id="217"/>
      <w:r>
        <w:t>Appendix 2: Conditions included as Potentially Preventable Admissions (PPAs)</w:t>
      </w:r>
      <w:bookmarkEnd w:id="218"/>
    </w:p>
    <w:tbl>
      <w:tblPr>
        <w:tblStyle w:val="ISDPubsTables"/>
        <w:tblW w:w="5000" w:type="pct"/>
        <w:tblLook w:val="04A0" w:firstRow="1" w:lastRow="0" w:firstColumn="1" w:lastColumn="0" w:noHBand="0" w:noVBand="1"/>
      </w:tblPr>
      <w:tblGrid>
        <w:gridCol w:w="1928"/>
        <w:gridCol w:w="5669"/>
        <w:gridCol w:w="2540"/>
      </w:tblGrid>
      <w:tr w:rsidR="00EF083D" w:rsidTr="00D038A1">
        <w:trPr>
          <w:cnfStyle w:val="100000000000" w:firstRow="1" w:lastRow="0" w:firstColumn="0" w:lastColumn="0" w:oddVBand="0" w:evenVBand="0" w:oddHBand="0" w:evenHBand="0" w:firstRowFirstColumn="0" w:firstRowLastColumn="0" w:lastRowFirstColumn="0" w:lastRowLastColumn="0"/>
        </w:trPr>
        <w:tc>
          <w:tcPr>
            <w:tcW w:w="0" w:type="auto"/>
          </w:tcPr>
          <w:p w:rsidR="00EF083D" w:rsidRDefault="00D038A1" w:rsidP="00D038A1">
            <w:pPr>
              <w:jc w:val="left"/>
            </w:pPr>
            <w:r>
              <w:t>Condition</w:t>
            </w:r>
          </w:p>
        </w:tc>
        <w:tc>
          <w:tcPr>
            <w:tcW w:w="0" w:type="auto"/>
          </w:tcPr>
          <w:p w:rsidR="00EF083D" w:rsidRDefault="00D038A1" w:rsidP="00D038A1">
            <w:pPr>
              <w:jc w:val="left"/>
            </w:pPr>
            <w:r>
              <w:t>ICD10 code</w:t>
            </w:r>
            <w:r>
              <w:t>s included</w:t>
            </w:r>
          </w:p>
        </w:tc>
        <w:tc>
          <w:tcPr>
            <w:tcW w:w="0" w:type="auto"/>
          </w:tcPr>
          <w:p w:rsidR="00EF083D" w:rsidRDefault="00D038A1" w:rsidP="00D038A1">
            <w:pPr>
              <w:jc w:val="left"/>
            </w:pPr>
            <w:r>
              <w:t>Comments</w:t>
            </w:r>
          </w:p>
        </w:tc>
      </w:tr>
      <w:tr w:rsidR="00EF083D" w:rsidTr="00D038A1">
        <w:tc>
          <w:tcPr>
            <w:tcW w:w="0" w:type="auto"/>
          </w:tcPr>
          <w:p w:rsidR="00EF083D" w:rsidRDefault="00D038A1" w:rsidP="00D038A1">
            <w:pPr>
              <w:jc w:val="left"/>
            </w:pPr>
            <w:r>
              <w:t>Ear Nose And Throat</w:t>
            </w:r>
          </w:p>
        </w:tc>
        <w:tc>
          <w:tcPr>
            <w:tcW w:w="0" w:type="auto"/>
          </w:tcPr>
          <w:p w:rsidR="00EF083D" w:rsidRDefault="00D038A1" w:rsidP="00D038A1">
            <w:pPr>
              <w:jc w:val="left"/>
            </w:pPr>
            <w:r>
              <w:t>H66, J028, J029, J038, J039, J06, J321</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Dental</w:t>
            </w:r>
          </w:p>
        </w:tc>
        <w:tc>
          <w:tcPr>
            <w:tcW w:w="0" w:type="auto"/>
          </w:tcPr>
          <w:p w:rsidR="00EF083D" w:rsidRDefault="00D038A1" w:rsidP="00D038A1">
            <w:pPr>
              <w:jc w:val="left"/>
            </w:pPr>
            <w:r>
              <w:t>K02, K03, K04, K05, K06, K08</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Convulsions And Epilepsy</w:t>
            </w:r>
          </w:p>
        </w:tc>
        <w:tc>
          <w:tcPr>
            <w:tcW w:w="0" w:type="auto"/>
          </w:tcPr>
          <w:p w:rsidR="00EF083D" w:rsidRDefault="00D038A1" w:rsidP="00D038A1">
            <w:pPr>
              <w:jc w:val="left"/>
            </w:pPr>
            <w:r>
              <w:t>G40, G41, R56, O15</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Gangrene</w:t>
            </w:r>
          </w:p>
        </w:tc>
        <w:tc>
          <w:tcPr>
            <w:tcW w:w="0" w:type="auto"/>
          </w:tcPr>
          <w:p w:rsidR="00EF083D" w:rsidRDefault="00D038A1" w:rsidP="00D038A1">
            <w:pPr>
              <w:jc w:val="left"/>
            </w:pPr>
            <w:r>
              <w:t>R02</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Nutritional Deficiencies</w:t>
            </w:r>
          </w:p>
        </w:tc>
        <w:tc>
          <w:tcPr>
            <w:tcW w:w="0" w:type="auto"/>
          </w:tcPr>
          <w:p w:rsidR="00EF083D" w:rsidRDefault="00D038A1" w:rsidP="00D038A1">
            <w:pPr>
              <w:jc w:val="left"/>
            </w:pPr>
            <w:r>
              <w:t>E40, E41, E43, E550, E643, M833</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Dehydration And Gastroenteritis</w:t>
            </w:r>
          </w:p>
        </w:tc>
        <w:tc>
          <w:tcPr>
            <w:tcW w:w="0" w:type="auto"/>
          </w:tcPr>
          <w:p w:rsidR="00EF083D" w:rsidRDefault="00D038A1" w:rsidP="00D038A1">
            <w:pPr>
              <w:jc w:val="left"/>
            </w:pPr>
            <w:r>
              <w:t>E86, K522, K528, K529</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Pyelonephritis</w:t>
            </w:r>
          </w:p>
        </w:tc>
        <w:tc>
          <w:tcPr>
            <w:tcW w:w="0" w:type="auto"/>
          </w:tcPr>
          <w:p w:rsidR="00EF083D" w:rsidRDefault="00D038A1" w:rsidP="00D038A1">
            <w:pPr>
              <w:jc w:val="left"/>
            </w:pPr>
            <w:r>
              <w:t>N10, N11, N12</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Perforated Bleeding Ulcer</w:t>
            </w:r>
          </w:p>
        </w:tc>
        <w:tc>
          <w:tcPr>
            <w:tcW w:w="0" w:type="auto"/>
          </w:tcPr>
          <w:p w:rsidR="00EF083D" w:rsidRDefault="00D038A1" w:rsidP="00D038A1">
            <w:pPr>
              <w:jc w:val="left"/>
            </w:pPr>
            <w:r>
              <w:t>K250, K251, K252, K254, K255, K256, K260, K261, K262, K264, K265, K266, K270, K271, K272, K274, K275, K276, K280, K281, K282, K284, K285, K</w:t>
            </w:r>
            <w:r>
              <w:t>286</w:t>
            </w:r>
          </w:p>
        </w:tc>
        <w:tc>
          <w:tcPr>
            <w:tcW w:w="0" w:type="auto"/>
          </w:tcPr>
          <w:p w:rsidR="00EF083D" w:rsidRDefault="00D038A1" w:rsidP="00D038A1">
            <w:pPr>
              <w:jc w:val="left"/>
            </w:pPr>
            <w:r>
              <w:t>Excludes episodes with following main OPCS4 codes: S06, S57, S68, S70, W90, X11</w:t>
            </w:r>
          </w:p>
        </w:tc>
      </w:tr>
      <w:tr w:rsidR="00EF083D" w:rsidTr="00D038A1">
        <w:tc>
          <w:tcPr>
            <w:tcW w:w="0" w:type="auto"/>
          </w:tcPr>
          <w:p w:rsidR="00EF083D" w:rsidRDefault="00D038A1" w:rsidP="00D038A1">
            <w:pPr>
              <w:jc w:val="left"/>
            </w:pPr>
            <w:r>
              <w:t>Cellulitis</w:t>
            </w:r>
          </w:p>
        </w:tc>
        <w:tc>
          <w:tcPr>
            <w:tcW w:w="0" w:type="auto"/>
          </w:tcPr>
          <w:p w:rsidR="00EF083D" w:rsidRDefault="00D038A1" w:rsidP="00D038A1">
            <w:pPr>
              <w:jc w:val="left"/>
            </w:pPr>
            <w:r>
              <w:t>L03, L04, L080, L088, L089, L980</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Pelvic Inflammatory Disease</w:t>
            </w:r>
          </w:p>
        </w:tc>
        <w:tc>
          <w:tcPr>
            <w:tcW w:w="0" w:type="auto"/>
          </w:tcPr>
          <w:p w:rsidR="00EF083D" w:rsidRDefault="00D038A1" w:rsidP="00D038A1">
            <w:pPr>
              <w:jc w:val="left"/>
            </w:pPr>
            <w:r>
              <w:t>N70, N73</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Influenza And Pneumonia</w:t>
            </w:r>
          </w:p>
        </w:tc>
        <w:tc>
          <w:tcPr>
            <w:tcW w:w="0" w:type="auto"/>
          </w:tcPr>
          <w:p w:rsidR="00EF083D" w:rsidRDefault="00D038A1" w:rsidP="00D038A1">
            <w:pPr>
              <w:jc w:val="left"/>
            </w:pPr>
            <w:r>
              <w:t>J10, J11, J13, J181</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Other Vaccine Preventable</w:t>
            </w:r>
          </w:p>
        </w:tc>
        <w:tc>
          <w:tcPr>
            <w:tcW w:w="0" w:type="auto"/>
          </w:tcPr>
          <w:p w:rsidR="00EF083D" w:rsidRDefault="00D038A1" w:rsidP="00D038A1">
            <w:pPr>
              <w:jc w:val="left"/>
            </w:pPr>
            <w:r>
              <w:t>A35, A36, A370, A379, A80, B05, B06, B161, B169, B26</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Iron Deficiency</w:t>
            </w:r>
          </w:p>
        </w:tc>
        <w:tc>
          <w:tcPr>
            <w:tcW w:w="0" w:type="auto"/>
          </w:tcPr>
          <w:p w:rsidR="00EF083D" w:rsidRDefault="00D038A1" w:rsidP="00D038A1">
            <w:pPr>
              <w:jc w:val="left"/>
            </w:pPr>
            <w:r>
              <w:t>D501, D508, D509</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Asthma</w:t>
            </w:r>
          </w:p>
        </w:tc>
        <w:tc>
          <w:tcPr>
            <w:tcW w:w="0" w:type="auto"/>
          </w:tcPr>
          <w:p w:rsidR="00EF083D" w:rsidRDefault="00D038A1" w:rsidP="00D038A1">
            <w:pPr>
              <w:jc w:val="left"/>
            </w:pPr>
            <w:r>
              <w:t>J45, J46</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Diabetes Complications</w:t>
            </w:r>
          </w:p>
        </w:tc>
        <w:tc>
          <w:tcPr>
            <w:tcW w:w="0" w:type="auto"/>
          </w:tcPr>
          <w:p w:rsidR="00EF083D" w:rsidRDefault="00D038A1" w:rsidP="00D038A1">
            <w:pPr>
              <w:jc w:val="left"/>
            </w:pPr>
            <w:r>
              <w:t>E100, E101, E102, E103, E104, E105, E106, E107, E108, E110, E111, E112, E113, E114, E115, E116, E117, E118, E120, E121,</w:t>
            </w:r>
            <w:r>
              <w:t xml:space="preserve"> E122, E123, E124, E125, E126, E127, E128, E130, E131, E132, E133, E134, E135, E136, E137, E138, E140, E141, E142, E143, E144, E145, E146, E147, E148</w:t>
            </w:r>
          </w:p>
        </w:tc>
        <w:tc>
          <w:tcPr>
            <w:tcW w:w="0" w:type="auto"/>
          </w:tcPr>
          <w:p w:rsidR="00EF083D" w:rsidRDefault="00D038A1" w:rsidP="00D038A1">
            <w:pPr>
              <w:jc w:val="left"/>
            </w:pPr>
            <w:r>
              <w:t>NA</w:t>
            </w:r>
          </w:p>
        </w:tc>
      </w:tr>
      <w:tr w:rsidR="00EF083D" w:rsidTr="00D038A1">
        <w:tc>
          <w:tcPr>
            <w:tcW w:w="0" w:type="auto"/>
          </w:tcPr>
          <w:p w:rsidR="00EF083D" w:rsidRDefault="00D038A1" w:rsidP="00D038A1">
            <w:pPr>
              <w:jc w:val="left"/>
            </w:pPr>
            <w:r>
              <w:t>Hypertension</w:t>
            </w:r>
          </w:p>
        </w:tc>
        <w:tc>
          <w:tcPr>
            <w:tcW w:w="0" w:type="auto"/>
          </w:tcPr>
          <w:p w:rsidR="00EF083D" w:rsidRDefault="00D038A1" w:rsidP="00D038A1">
            <w:pPr>
              <w:jc w:val="left"/>
            </w:pPr>
            <w:r>
              <w:t>I10, I119</w:t>
            </w:r>
          </w:p>
        </w:tc>
        <w:tc>
          <w:tcPr>
            <w:tcW w:w="0" w:type="auto"/>
          </w:tcPr>
          <w:p w:rsidR="00EF083D" w:rsidRDefault="00D038A1" w:rsidP="00D038A1">
            <w:pPr>
              <w:jc w:val="left"/>
            </w:pPr>
            <w:r>
              <w:t>Exclude episodes with following main OPCS4 codes: K01 - K50, K56, K60 - K61</w:t>
            </w:r>
          </w:p>
        </w:tc>
      </w:tr>
      <w:tr w:rsidR="00EF083D" w:rsidTr="00D038A1">
        <w:tc>
          <w:tcPr>
            <w:tcW w:w="0" w:type="auto"/>
          </w:tcPr>
          <w:p w:rsidR="00EF083D" w:rsidRDefault="00D038A1" w:rsidP="00D038A1">
            <w:pPr>
              <w:jc w:val="left"/>
            </w:pPr>
            <w:r>
              <w:t>An</w:t>
            </w:r>
            <w:r>
              <w:t>gina</w:t>
            </w:r>
          </w:p>
        </w:tc>
        <w:tc>
          <w:tcPr>
            <w:tcW w:w="0" w:type="auto"/>
          </w:tcPr>
          <w:p w:rsidR="00EF083D" w:rsidRDefault="00D038A1" w:rsidP="00D038A1">
            <w:pPr>
              <w:jc w:val="left"/>
            </w:pPr>
            <w:r>
              <w:t>I20</w:t>
            </w:r>
          </w:p>
        </w:tc>
        <w:tc>
          <w:tcPr>
            <w:tcW w:w="0" w:type="auto"/>
          </w:tcPr>
          <w:p w:rsidR="00EF083D" w:rsidRDefault="00D038A1" w:rsidP="00D038A1">
            <w:pPr>
              <w:jc w:val="left"/>
            </w:pPr>
            <w:r>
              <w:t>Exclude episodes with main OPCS4 codes: K40, K45 K49, K60, K65, K66</w:t>
            </w:r>
          </w:p>
        </w:tc>
      </w:tr>
      <w:tr w:rsidR="00EF083D" w:rsidTr="00D038A1">
        <w:tc>
          <w:tcPr>
            <w:tcW w:w="0" w:type="auto"/>
          </w:tcPr>
          <w:p w:rsidR="00EF083D" w:rsidRDefault="00D038A1" w:rsidP="00D038A1">
            <w:pPr>
              <w:jc w:val="left"/>
            </w:pPr>
            <w:r>
              <w:t>COPD</w:t>
            </w:r>
          </w:p>
        </w:tc>
        <w:tc>
          <w:tcPr>
            <w:tcW w:w="0" w:type="auto"/>
          </w:tcPr>
          <w:p w:rsidR="00EF083D" w:rsidRDefault="00D038A1" w:rsidP="00D038A1">
            <w:pPr>
              <w:jc w:val="left"/>
            </w:pPr>
            <w:r>
              <w:t>J20, J41, J42, J43, J44, J47</w:t>
            </w:r>
          </w:p>
        </w:tc>
        <w:tc>
          <w:tcPr>
            <w:tcW w:w="0" w:type="auto"/>
          </w:tcPr>
          <w:p w:rsidR="00EF083D" w:rsidRDefault="00D038A1" w:rsidP="00D038A1">
            <w:pPr>
              <w:jc w:val="left"/>
            </w:pPr>
            <w:r>
              <w:t>J20 only included if secondary diagnosis has one of J41 - J44, J47</w:t>
            </w:r>
          </w:p>
        </w:tc>
      </w:tr>
      <w:tr w:rsidR="00EF083D" w:rsidTr="00D038A1">
        <w:tc>
          <w:tcPr>
            <w:tcW w:w="0" w:type="auto"/>
          </w:tcPr>
          <w:p w:rsidR="00EF083D" w:rsidRDefault="00D038A1" w:rsidP="00D038A1">
            <w:pPr>
              <w:jc w:val="left"/>
            </w:pPr>
            <w:r>
              <w:t>Congestive Heart Failure</w:t>
            </w:r>
          </w:p>
        </w:tc>
        <w:tc>
          <w:tcPr>
            <w:tcW w:w="0" w:type="auto"/>
          </w:tcPr>
          <w:p w:rsidR="00EF083D" w:rsidRDefault="00D038A1" w:rsidP="00D038A1">
            <w:pPr>
              <w:jc w:val="left"/>
            </w:pPr>
            <w:r>
              <w:t>I110, I50, J81</w:t>
            </w:r>
          </w:p>
        </w:tc>
        <w:tc>
          <w:tcPr>
            <w:tcW w:w="0" w:type="auto"/>
          </w:tcPr>
          <w:p w:rsidR="00EF083D" w:rsidRDefault="00D038A1" w:rsidP="00D038A1">
            <w:pPr>
              <w:jc w:val="left"/>
            </w:pPr>
            <w:r>
              <w:t>Exclude episodes with following main OPCS4 codes: K01 - K50, K56, K60 - K61</w:t>
            </w:r>
          </w:p>
        </w:tc>
      </w:tr>
    </w:tbl>
    <w:p w:rsidR="00000000" w:rsidRDefault="00D038A1"/>
    <w:sectPr w:rsidR="00000000" w:rsidSect="00CF380D">
      <w:pgSz w:w="11906" w:h="16838"/>
      <w:pgMar w:top="1418" w:right="1134" w:bottom="1134" w:left="851"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D038A1">
      <w:pPr>
        <w:spacing w:after="0"/>
      </w:pPr>
      <w:r>
        <w:separator/>
      </w:r>
    </w:p>
  </w:endnote>
  <w:endnote w:type="continuationSeparator" w:id="0">
    <w:p w:rsidR="00000000" w:rsidRDefault="00D038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A1" w:rsidRPr="00C80488" w:rsidRDefault="00D038A1" w:rsidP="00C80488">
    <w:pPr>
      <w:pStyle w:val="Cover-footertext"/>
    </w:pPr>
    <w:r>
      <w:rPr>
        <w:noProof/>
      </w:rPr>
      <w:pict>
        <v:rect id="_x0000_s2053" alt=" &#10;" style="position:absolute;left:0;text-align:left;margin-left:0;margin-top:-4.1pt;width:604.8pt;height:85.5pt;z-index:-25164697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" fillcolor="#43358b" stroked="f" strokeweight="2pt">
          <w10:wrap anchorx="page"/>
        </v:rect>
      </w:pict>
    </w:r>
    <w:r>
      <w:rPr>
        <w:noProof/>
      </w:rPr>
      <w:pict>
        <v:rect id="_x0000_s2054" alt=" &#10;" style="position:absolute;left:0;text-align:left;margin-left:0;margin-top:-9.1pt;width:637.8pt;height:5.65pt;z-index:-25164595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" fillcolor="#964091" stroked="f" strokeweight="2pt">
          <w10:wrap anchorx="margin"/>
        </v:rect>
      </w:pict>
    </w:r>
  </w:p>
  <w:p w:rsidR="00D038A1" w:rsidRPr="005666FD" w:rsidRDefault="00D038A1" w:rsidP="00003FF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8548"/>
      <w:docPartObj>
        <w:docPartGallery w:val="Page Numbers (Bottom of Page)"/>
        <w:docPartUnique/>
      </w:docPartObj>
    </w:sdtPr>
    <w:sdtEndPr/>
    <w:sdtContent>
      <w:p w:rsidR="00284F20" w:rsidRDefault="00D038A1" w:rsidP="005F25DF">
        <w:pPr>
          <w:pStyle w:val="Footer"/>
        </w:pPr>
        <w:r>
          <w:rPr>
            <w:noProof/>
            <w:lang w:eastAsia="en-GB"/>
          </w:rPr>
          <w:pict>
            <v:shapetype id="_x0000_t32" coordsize="21600,21600" o:spt="32" o:oned="t" path="m,l21600,21600e" filled="f">
              <v:path arrowok="t" fillok="f" o:connecttype="none"/>
              <o:lock v:ext="edit" shapetype="t"/>
            </v:shapetype>
            <v:shape id="_x0000_s2051" type="#_x0000_t32" style="position:absolute;margin-left:0;margin-top:6.55pt;width:499.55pt;height:.05pt;z-index:251664384;mso-position-horizontal-relative:text;mso-position-vertical-relative:text" o:connectortype="straight" strokecolor="#00a2e5"/>
          </w:pict>
        </w:r>
      </w:p>
      <w:p w:rsidR="00284F20" w:rsidRDefault="00D038A1">
        <w:pPr>
          <w:pStyle w:val="Footer"/>
          <w:jc w:val="center"/>
        </w:pPr>
        <w:r w:rsidRPr="005F25DF">
          <w:rPr>
            <w:sz w:val="20"/>
            <w:szCs w:val="20"/>
          </w:rPr>
          <w:fldChar w:fldCharType="begin"/>
        </w:r>
        <w:r w:rsidRPr="005F25DF">
          <w:rPr>
            <w:sz w:val="20"/>
            <w:szCs w:val="20"/>
          </w:rPr>
          <w:instrText xml:space="preserve"> PAGE   \* MERGEFORMAT </w:instrText>
        </w:r>
        <w:r w:rsidRPr="005F25DF">
          <w:rPr>
            <w:sz w:val="20"/>
            <w:szCs w:val="20"/>
          </w:rPr>
          <w:fldChar w:fldCharType="separate"/>
        </w:r>
        <w:r>
          <w:rPr>
            <w:noProof/>
            <w:sz w:val="20"/>
            <w:szCs w:val="20"/>
          </w:rPr>
          <w:t>2</w:t>
        </w:r>
        <w:r w:rsidRPr="005F25DF">
          <w:rPr>
            <w:sz w:val="20"/>
            <w:szCs w:val="20"/>
          </w:rPr>
          <w:fldChar w:fldCharType="end"/>
        </w:r>
      </w:p>
    </w:sdtContent>
  </w:sdt>
  <w:p w:rsidR="00284F20" w:rsidRDefault="00D038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0031"/>
      <w:docPartObj>
        <w:docPartGallery w:val="Page Numbers (Bottom of Page)"/>
        <w:docPartUnique/>
      </w:docPartObj>
    </w:sdtPr>
    <w:sdtEndPr/>
    <w:sdtContent>
      <w:p w:rsidR="00284F20" w:rsidRDefault="00D038A1" w:rsidP="003063C7">
        <w:pPr>
          <w:pStyle w:val="Footer"/>
        </w:pPr>
      </w:p>
      <w:p w:rsidR="00284F20" w:rsidRDefault="00D038A1" w:rsidP="006F6204">
        <w:pPr>
          <w:pStyle w:val="Footer"/>
          <w:jc w:val="center"/>
        </w:pPr>
      </w:p>
    </w:sdtContent>
  </w:sdt>
  <w:p w:rsidR="00284F20" w:rsidRDefault="00D038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83D" w:rsidRDefault="00D038A1">
      <w:r>
        <w:separator/>
      </w:r>
    </w:p>
  </w:footnote>
  <w:footnote w:type="continuationSeparator" w:id="0">
    <w:p w:rsidR="00EF083D" w:rsidRDefault="00D03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8A1" w:rsidRDefault="00D038A1" w:rsidP="00855691">
    <w:pPr>
      <w:pStyle w:val="HeaderTitle"/>
      <w:rPr>
        <w:position w:val="92"/>
      </w:rPr>
    </w:pPr>
    <w:r>
      <w:rPr>
        <w:noProof/>
        <w:lang w:eastAsia="en-GB"/>
      </w:rPr>
      <w:drawing>
        <wp:anchor distT="0" distB="0" distL="114300" distR="114300" simplePos="0" relativeHeight="251668480" behindDoc="0" locked="0" layoutInCell="1" allowOverlap="1">
          <wp:simplePos x="0" y="0"/>
          <wp:positionH relativeFrom="margin">
            <wp:align>right</wp:align>
          </wp:positionH>
          <wp:positionV relativeFrom="page">
            <wp:posOffset>467995</wp:posOffset>
          </wp:positionV>
          <wp:extent cx="2160000" cy="781200"/>
          <wp:effectExtent l="0" t="0" r="0" b="0"/>
          <wp:wrapNone/>
          <wp:docPr id="56" name="Picture 56" descr="Public Health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2blue.jpg"/>
                  <pic:cNvPicPr/>
                </pic:nvPicPr>
                <pic:blipFill>
                  <a:blip r:embed="rId1">
                    <a:extLst>
                      <a:ext uri="{28A0092B-C50C-407E-A947-70E740481C1C}">
                        <a14:useLocalDpi xmlns:a14="http://schemas.microsoft.com/office/drawing/2010/main" val="0"/>
                      </a:ext>
                    </a:extLst>
                  </a:blip>
                  <a:stretch>
                    <a:fillRect/>
                  </a:stretch>
                </pic:blipFill>
                <pic:spPr>
                  <a:xfrm>
                    <a:off x="0" y="0"/>
                    <a:ext cx="2160000" cy="781200"/>
                  </a:xfrm>
                  <a:prstGeom prst="rect">
                    <a:avLst/>
                  </a:prstGeom>
                </pic:spPr>
              </pic:pic>
            </a:graphicData>
          </a:graphic>
        </wp:anchor>
      </w:drawing>
    </w:r>
    <w:r w:rsidRPr="00D54655">
      <w:rPr>
        <w:color w:val="00A2E5"/>
        <w:position w:val="92"/>
      </w:rPr>
      <w:t xml:space="preserve">                                                                  </w:t>
    </w:r>
  </w:p>
  <w:p w:rsidR="00D038A1" w:rsidRDefault="00D038A1" w:rsidP="009C7086">
    <w:pPr>
      <w:pStyle w:val="NoSpacing"/>
    </w:pPr>
  </w:p>
  <w:p w:rsidR="00D038A1" w:rsidRPr="009C7086" w:rsidRDefault="00D038A1" w:rsidP="009C7086">
    <w:pPr>
      <w:pStyle w:val="NoSpacing"/>
    </w:pPr>
  </w:p>
  <w:p w:rsidR="00D038A1" w:rsidRPr="00F2707C" w:rsidRDefault="00D038A1" w:rsidP="009C7086">
    <w:pPr>
      <w:pStyle w:val="NoSpacing"/>
      <w:jc w:val="right"/>
    </w:pPr>
  </w:p>
  <w:p w:rsidR="00D038A1" w:rsidRPr="00D54655" w:rsidRDefault="00D038A1" w:rsidP="008A7E30">
    <w:pPr>
      <w:pStyle w:val="HeaderTitle"/>
      <w:tabs>
        <w:tab w:val="left" w:pos="0"/>
        <w:tab w:val="left" w:pos="7028"/>
      </w:tabs>
      <w:rPr>
        <w:color w:val="00A2E5"/>
        <w:position w:val="92"/>
      </w:rPr>
    </w:pPr>
    <w:r>
      <w:rPr>
        <w:color w:val="00A2E5"/>
        <w:position w:val="92"/>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F20" w:rsidRPr="00836B45" w:rsidRDefault="00D038A1" w:rsidP="000F1701">
    <w:pPr>
      <w:pStyle w:val="HeaderTitle"/>
      <w:tabs>
        <w:tab w:val="left" w:pos="0"/>
      </w:tabs>
      <w:jc w:val="center"/>
      <w:rPr>
        <w:color w:val="FF0000"/>
        <w:position w:val="92"/>
        <w:sz w:val="22"/>
      </w:rPr>
    </w:pPr>
    <w:r>
      <w:rPr>
        <w:noProof/>
        <w:color w:val="00A2E5"/>
        <w:position w:val="92"/>
        <w:sz w:val="24"/>
        <w:lang w:eastAsia="en-GB"/>
      </w:rPr>
      <w:pict>
        <v:shapetype id="_x0000_t32" coordsize="21600,21600" o:spt="32" o:oned="t" path="m,l21600,21600e" filled="f">
          <v:path arrowok="t" fillok="f" o:connecttype="none"/>
          <o:lock v:ext="edit" shapetype="t"/>
        </v:shapetype>
        <v:shape id="_x0000_s2052" type="#_x0000_t32" alt="#" style="position:absolute;left:0;text-align:left;margin-left:0;margin-top:39.05pt;width:487.55pt;height:0;z-index:251666432" o:connectortype="straight" strokecolor="#00a2e5"/>
      </w:pict>
    </w:r>
    <w:r>
      <w:rPr>
        <w:color w:val="00A2E5"/>
        <w:position w:val="92"/>
        <w:sz w:val="24"/>
      </w:rPr>
      <w:t xml:space="preserve">PHS </w:t>
    </w:r>
    <w:r w:rsidRPr="00F11FD8">
      <w:rPr>
        <w:color w:val="00A2E5"/>
        <w:position w:val="92"/>
        <w:sz w:val="24"/>
      </w:rPr>
      <w:t>LIST Locality Profiles</w:t>
    </w:r>
    <w:r>
      <w:rPr>
        <w:color w:val="00A2E5"/>
        <w:position w:val="92"/>
        <w:sz w:val="24"/>
      </w:rPr>
      <w:t xml:space="preserve"> – </w:t>
    </w:r>
    <w:r>
      <w:rPr>
        <w:color w:val="FF0000"/>
        <w:position w:val="92"/>
        <w:sz w:val="24"/>
      </w:rPr>
      <w:t>Management Information Only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ED4908E"/>
    <w:multiLevelType w:val="multilevel"/>
    <w:tmpl w:val="17B629C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C7C730B1"/>
    <w:multiLevelType w:val="multilevel"/>
    <w:tmpl w:val="7C98374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CA361CFD"/>
    <w:multiLevelType w:val="multilevel"/>
    <w:tmpl w:val="F4B2DC8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17F69BA"/>
    <w:multiLevelType w:val="multilevel"/>
    <w:tmpl w:val="51EEA03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3"/>
  </w:num>
  <w:num w:numId="2">
    <w:abstractNumId w:val="1"/>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3075"/>
    <o:shapelayout v:ext="edit">
      <o:idmap v:ext="edit" data="1,2"/>
      <o:rules v:ext="edit">
        <o:r id="V:Rule1" type="connector" idref="#_x0000_s2052"/>
        <o:r id="V:Rule2"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590D07"/>
    <w:rsid w:val="00011C8B"/>
    <w:rsid w:val="004E29B3"/>
    <w:rsid w:val="00590D07"/>
    <w:rsid w:val="00784D58"/>
    <w:rsid w:val="008D6863"/>
    <w:rsid w:val="00B86B75"/>
    <w:rsid w:val="00BC48D5"/>
    <w:rsid w:val="00C36279"/>
    <w:rsid w:val="00D038A1"/>
    <w:rsid w:val="00E315A3"/>
    <w:rsid w:val="00EF083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15:docId w15:val="{0B44A36C-1209-4C90-856E-1AD08334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23E4"/>
    <w:pPr>
      <w:spacing w:after="120" w:line="240" w:lineRule="auto"/>
    </w:pPr>
    <w:rPr>
      <w:rFonts w:ascii="Arial" w:hAnsi="Arial"/>
      <w:sz w:val="24"/>
    </w:rPr>
  </w:style>
  <w:style w:type="paragraph" w:styleId="Heading1">
    <w:name w:val="heading 1"/>
    <w:basedOn w:val="Normal"/>
    <w:link w:val="Heading1Char"/>
    <w:uiPriority w:val="9"/>
    <w:rsid w:val="009E772F"/>
    <w:pPr>
      <w:outlineLvl w:val="0"/>
    </w:pPr>
    <w:rPr>
      <w:b/>
      <w:sz w:val="36"/>
    </w:rPr>
  </w:style>
  <w:style w:type="paragraph" w:styleId="Heading2">
    <w:name w:val="heading 2"/>
    <w:basedOn w:val="Normal"/>
    <w:next w:val="Normal"/>
    <w:link w:val="Heading2Char"/>
    <w:uiPriority w:val="9"/>
    <w:unhideWhenUsed/>
    <w:qFormat/>
    <w:rsid w:val="008530B9"/>
    <w:pPr>
      <w:keepNext/>
      <w:keepLines/>
      <w:spacing w:before="200" w:after="0"/>
      <w:outlineLvl w:val="1"/>
    </w:pPr>
    <w:rPr>
      <w:rFonts w:eastAsiaTheme="majorEastAsia" w:cstheme="majorBidi"/>
      <w:b/>
      <w:bCs/>
      <w:color w:val="7030A0"/>
      <w:sz w:val="32"/>
      <w:szCs w:val="26"/>
    </w:rPr>
  </w:style>
  <w:style w:type="paragraph" w:styleId="Heading3">
    <w:name w:val="heading 3"/>
    <w:basedOn w:val="Normal"/>
    <w:next w:val="Normal"/>
    <w:link w:val="Heading3Char"/>
    <w:uiPriority w:val="9"/>
    <w:unhideWhenUsed/>
    <w:qFormat/>
    <w:rsid w:val="00C25D7C"/>
    <w:pPr>
      <w:keepNext/>
      <w:keepLines/>
      <w:spacing w:before="200" w:after="0"/>
      <w:outlineLvl w:val="2"/>
    </w:pPr>
    <w:rPr>
      <w:rFonts w:eastAsiaTheme="majorEastAsia" w:cstheme="majorBidi"/>
      <w:b/>
      <w:bCs/>
      <w:color w:val="404040" w:themeColor="text1" w:themeTint="BF"/>
      <w:sz w:val="28"/>
    </w:rPr>
  </w:style>
  <w:style w:type="paragraph" w:styleId="Heading4">
    <w:name w:val="heading 4"/>
    <w:basedOn w:val="Normal"/>
    <w:next w:val="Normal"/>
    <w:link w:val="Heading4Char"/>
    <w:uiPriority w:val="9"/>
    <w:unhideWhenUsed/>
    <w:qFormat/>
    <w:rsid w:val="000D13E3"/>
    <w:pPr>
      <w:keepNext/>
      <w:keepLines/>
      <w:spacing w:before="200" w:after="0"/>
      <w:outlineLvl w:val="3"/>
    </w:pPr>
    <w:rPr>
      <w:rFonts w:eastAsiaTheme="majorEastAsia" w:cstheme="majorBidi"/>
      <w:b/>
      <w:bCs/>
      <w:iCs/>
      <w:color w:val="7030A0"/>
    </w:rPr>
  </w:style>
  <w:style w:type="paragraph" w:styleId="Heading5">
    <w:name w:val="heading 5"/>
    <w:basedOn w:val="Normal"/>
    <w:next w:val="Normal"/>
    <w:link w:val="Heading5Char"/>
    <w:uiPriority w:val="9"/>
    <w:qFormat/>
    <w:rsid w:val="00603B72"/>
    <w:pPr>
      <w:keepNext/>
      <w:keepLines/>
      <w:pageBreakBefore/>
      <w:spacing w:after="160" w:line="20" w:lineRule="exact"/>
      <w:outlineLvl w:val="4"/>
    </w:pPr>
    <w:rPr>
      <w:rFonts w:eastAsiaTheme="majorEastAsia" w:cstheme="majorBidi"/>
      <w:b/>
      <w:color w:val="FFFFFF" w:themeColor="background1"/>
      <w:sz w:val="16"/>
    </w:rPr>
  </w:style>
  <w:style w:type="paragraph" w:styleId="Heading6">
    <w:name w:val="heading 6"/>
    <w:basedOn w:val="Normal"/>
    <w:next w:val="Normal"/>
    <w:link w:val="Heading6Char"/>
    <w:uiPriority w:val="9"/>
    <w:semiHidden/>
    <w:unhideWhenUsed/>
    <w:qFormat/>
    <w:rsid w:val="00AA3553"/>
    <w:pPr>
      <w:keepNext/>
      <w:keepLines/>
      <w:spacing w:after="0"/>
      <w:ind w:left="284" w:right="284"/>
      <w:outlineLvl w:val="5"/>
    </w:pPr>
    <w:rPr>
      <w:rFonts w:eastAsiaTheme="majorEastAsia" w:cstheme="majorBidi"/>
      <w:i/>
      <w:iCs/>
      <w:sz w:val="20"/>
    </w:rPr>
  </w:style>
  <w:style w:type="paragraph" w:styleId="Heading7">
    <w:name w:val="heading 7"/>
    <w:basedOn w:val="Normal"/>
    <w:next w:val="Normal"/>
    <w:link w:val="Heading7Char"/>
    <w:uiPriority w:val="9"/>
    <w:qFormat/>
    <w:rsid w:val="00325BCA"/>
    <w:pPr>
      <w:keepNext/>
      <w:keepLines/>
      <w:pageBreakBefore/>
      <w:outlineLvl w:val="6"/>
    </w:pPr>
    <w:rPr>
      <w:rFonts w:eastAsiaTheme="majorEastAsia" w:cstheme="majorBidi"/>
      <w:b/>
      <w:iCs/>
      <w:color w:val="7030A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772F"/>
    <w:rPr>
      <w:rFonts w:ascii="Arial" w:hAnsi="Arial"/>
      <w:b/>
      <w:sz w:val="36"/>
    </w:rPr>
  </w:style>
  <w:style w:type="character" w:customStyle="1" w:styleId="Heading2Char">
    <w:name w:val="Heading 2 Char"/>
    <w:basedOn w:val="DefaultParagraphFont"/>
    <w:link w:val="Heading2"/>
    <w:uiPriority w:val="9"/>
    <w:rsid w:val="008530B9"/>
    <w:rPr>
      <w:rFonts w:ascii="Arial" w:eastAsiaTheme="majorEastAsia" w:hAnsi="Arial" w:cstheme="majorBidi"/>
      <w:b/>
      <w:bCs/>
      <w:color w:val="7030A0"/>
      <w:sz w:val="32"/>
      <w:szCs w:val="26"/>
    </w:rPr>
  </w:style>
  <w:style w:type="character" w:customStyle="1" w:styleId="Heading3Char">
    <w:name w:val="Heading 3 Char"/>
    <w:basedOn w:val="DefaultParagraphFont"/>
    <w:link w:val="Heading3"/>
    <w:uiPriority w:val="9"/>
    <w:rsid w:val="00C25D7C"/>
    <w:rPr>
      <w:rFonts w:ascii="Arial" w:eastAsiaTheme="majorEastAsia" w:hAnsi="Arial" w:cstheme="majorBidi"/>
      <w:b/>
      <w:bCs/>
      <w:color w:val="404040" w:themeColor="text1" w:themeTint="BF"/>
      <w:sz w:val="28"/>
    </w:rPr>
  </w:style>
  <w:style w:type="paragraph" w:styleId="Subtitle">
    <w:name w:val="Subtitle"/>
    <w:basedOn w:val="Normal"/>
    <w:next w:val="Normal"/>
    <w:link w:val="SubtitleChar"/>
    <w:uiPriority w:val="11"/>
    <w:qFormat/>
    <w:rsid w:val="009B56D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9B56D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9B56DF"/>
    <w:pPr>
      <w:spacing w:after="0" w:line="240" w:lineRule="auto"/>
    </w:pPr>
  </w:style>
  <w:style w:type="character" w:styleId="IntenseEmphasis">
    <w:name w:val="Intense Emphasis"/>
    <w:basedOn w:val="DefaultParagraphFont"/>
    <w:uiPriority w:val="21"/>
    <w:qFormat/>
    <w:rsid w:val="009B56DF"/>
    <w:rPr>
      <w:b/>
      <w:bCs/>
      <w:i/>
      <w:iCs/>
      <w:color w:val="4F81BD" w:themeColor="accent1"/>
    </w:rPr>
  </w:style>
  <w:style w:type="paragraph" w:styleId="Header">
    <w:name w:val="header"/>
    <w:basedOn w:val="Normal"/>
    <w:link w:val="HeaderChar"/>
    <w:uiPriority w:val="99"/>
    <w:unhideWhenUsed/>
    <w:rsid w:val="006F6204"/>
    <w:pPr>
      <w:tabs>
        <w:tab w:val="center" w:pos="4513"/>
        <w:tab w:val="right" w:pos="9026"/>
      </w:tabs>
      <w:spacing w:after="0"/>
    </w:pPr>
  </w:style>
  <w:style w:type="character" w:customStyle="1" w:styleId="HeaderChar">
    <w:name w:val="Header Char"/>
    <w:basedOn w:val="DefaultParagraphFont"/>
    <w:link w:val="Header"/>
    <w:uiPriority w:val="99"/>
    <w:rsid w:val="006F6204"/>
  </w:style>
  <w:style w:type="paragraph" w:styleId="Footer">
    <w:name w:val="footer"/>
    <w:basedOn w:val="Normal"/>
    <w:link w:val="FooterChar"/>
    <w:uiPriority w:val="99"/>
    <w:unhideWhenUsed/>
    <w:rsid w:val="006F6204"/>
    <w:pPr>
      <w:tabs>
        <w:tab w:val="center" w:pos="4513"/>
        <w:tab w:val="right" w:pos="9026"/>
      </w:tabs>
      <w:spacing w:after="0"/>
    </w:pPr>
  </w:style>
  <w:style w:type="character" w:customStyle="1" w:styleId="FooterChar">
    <w:name w:val="Footer Char"/>
    <w:basedOn w:val="DefaultParagraphFont"/>
    <w:link w:val="Footer"/>
    <w:uiPriority w:val="99"/>
    <w:rsid w:val="006F6204"/>
  </w:style>
  <w:style w:type="paragraph" w:customStyle="1" w:styleId="HeaderTitle">
    <w:name w:val="HeaderTitle"/>
    <w:basedOn w:val="Header"/>
    <w:next w:val="NoSpacing"/>
    <w:link w:val="HeaderTitleChar"/>
    <w:qFormat/>
    <w:rsid w:val="009B56DF"/>
    <w:pPr>
      <w:tabs>
        <w:tab w:val="clear" w:pos="4513"/>
        <w:tab w:val="clear" w:pos="9026"/>
      </w:tabs>
      <w:spacing w:before="360"/>
    </w:pPr>
    <w:rPr>
      <w:b/>
      <w:color w:val="262626" w:themeColor="text1" w:themeTint="D9"/>
      <w:position w:val="-28"/>
      <w:sz w:val="28"/>
    </w:rPr>
  </w:style>
  <w:style w:type="character" w:customStyle="1" w:styleId="HeaderTitleChar">
    <w:name w:val="HeaderTitle Char"/>
    <w:basedOn w:val="HeaderChar"/>
    <w:link w:val="HeaderTitle"/>
    <w:rsid w:val="009B56DF"/>
    <w:rPr>
      <w:rFonts w:ascii="Arial" w:hAnsi="Arial"/>
      <w:b/>
      <w:color w:val="262626" w:themeColor="text1" w:themeTint="D9"/>
      <w:position w:val="-28"/>
      <w:sz w:val="28"/>
    </w:rPr>
  </w:style>
  <w:style w:type="paragraph" w:styleId="Title">
    <w:name w:val="Title"/>
    <w:basedOn w:val="Normal"/>
    <w:next w:val="Normal"/>
    <w:link w:val="TitleChar"/>
    <w:uiPriority w:val="10"/>
    <w:qFormat/>
    <w:rsid w:val="00F7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522A"/>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semiHidden/>
    <w:unhideWhenUsed/>
    <w:rsid w:val="0039038B"/>
    <w:rPr>
      <w:color w:val="7030A0"/>
      <w:u w:val="single"/>
    </w:rPr>
  </w:style>
  <w:style w:type="character" w:customStyle="1" w:styleId="Heading4Char">
    <w:name w:val="Heading 4 Char"/>
    <w:basedOn w:val="DefaultParagraphFont"/>
    <w:link w:val="Heading4"/>
    <w:uiPriority w:val="9"/>
    <w:rsid w:val="000D13E3"/>
    <w:rPr>
      <w:rFonts w:ascii="Arial" w:eastAsiaTheme="majorEastAsia" w:hAnsi="Arial" w:cstheme="majorBidi"/>
      <w:b/>
      <w:bCs/>
      <w:iCs/>
      <w:color w:val="7030A0"/>
      <w:sz w:val="24"/>
    </w:rPr>
  </w:style>
  <w:style w:type="paragraph" w:styleId="ListParagraph">
    <w:name w:val="List Paragraph"/>
    <w:basedOn w:val="Normal"/>
    <w:uiPriority w:val="34"/>
    <w:qFormat/>
    <w:rsid w:val="00A10C31"/>
    <w:pPr>
      <w:ind w:left="720"/>
      <w:contextualSpacing/>
    </w:pPr>
    <w:rPr>
      <w:sz w:val="22"/>
    </w:rPr>
  </w:style>
  <w:style w:type="character" w:customStyle="1" w:styleId="Heading5Char">
    <w:name w:val="Heading 5 Char"/>
    <w:basedOn w:val="DefaultParagraphFont"/>
    <w:link w:val="Heading5"/>
    <w:uiPriority w:val="9"/>
    <w:rsid w:val="00603B72"/>
    <w:rPr>
      <w:rFonts w:ascii="Arial" w:eastAsiaTheme="majorEastAsia" w:hAnsi="Arial" w:cstheme="majorBidi"/>
      <w:b/>
      <w:color w:val="FFFFFF" w:themeColor="background1"/>
      <w:sz w:val="16"/>
    </w:rPr>
  </w:style>
  <w:style w:type="table" w:styleId="TableGrid">
    <w:name w:val="Table Grid"/>
    <w:basedOn w:val="TableNormal"/>
    <w:uiPriority w:val="59"/>
    <w:rsid w:val="00BF7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7030A0"/>
      </w:tcPr>
    </w:tblStylePr>
  </w:style>
  <w:style w:type="character" w:customStyle="1" w:styleId="Heading6Char">
    <w:name w:val="Heading 6 Char"/>
    <w:basedOn w:val="DefaultParagraphFont"/>
    <w:link w:val="Heading6"/>
    <w:uiPriority w:val="9"/>
    <w:semiHidden/>
    <w:rsid w:val="00AA3553"/>
    <w:rPr>
      <w:rFonts w:ascii="Arial" w:eastAsiaTheme="majorEastAsia" w:hAnsi="Arial" w:cstheme="majorBidi"/>
      <w:i/>
      <w:iCs/>
      <w:sz w:val="20"/>
    </w:rPr>
  </w:style>
  <w:style w:type="paragraph" w:customStyle="1" w:styleId="Heading4pgbrk">
    <w:name w:val="Heading 4_pgbrk"/>
    <w:basedOn w:val="Normal"/>
    <w:next w:val="Normal"/>
    <w:link w:val="Heading4pgbrkChar"/>
    <w:qFormat/>
    <w:rsid w:val="00454C70"/>
    <w:pPr>
      <w:keepNext/>
      <w:keepLines/>
      <w:pageBreakBefore/>
    </w:pPr>
    <w:rPr>
      <w:b/>
      <w:color w:val="7030A0"/>
    </w:rPr>
  </w:style>
  <w:style w:type="character" w:customStyle="1" w:styleId="Heading4pgbrkChar">
    <w:name w:val="Heading 4_pgbrk Char"/>
    <w:basedOn w:val="DefaultParagraphFont"/>
    <w:link w:val="Heading4pgbrk"/>
    <w:rsid w:val="00454C70"/>
    <w:rPr>
      <w:rFonts w:ascii="Arial" w:hAnsi="Arial"/>
      <w:b/>
      <w:color w:val="7030A0"/>
      <w:sz w:val="24"/>
    </w:rPr>
  </w:style>
  <w:style w:type="paragraph" w:customStyle="1" w:styleId="Heading3pgbrk">
    <w:name w:val="Heading 3_pgbrk"/>
    <w:basedOn w:val="Normal"/>
    <w:next w:val="Normal"/>
    <w:link w:val="Heading3pgbrkChar"/>
    <w:qFormat/>
    <w:rsid w:val="003B5141"/>
    <w:pPr>
      <w:keepNext/>
      <w:keepLines/>
      <w:pageBreakBefore/>
      <w:outlineLvl w:val="2"/>
    </w:pPr>
    <w:rPr>
      <w:b/>
      <w:color w:val="404040" w:themeColor="text1" w:themeTint="BF"/>
      <w:sz w:val="28"/>
    </w:rPr>
  </w:style>
  <w:style w:type="paragraph" w:customStyle="1" w:styleId="Heading2pgbrk">
    <w:name w:val="Heading 2_pgbrk"/>
    <w:basedOn w:val="Normal"/>
    <w:next w:val="Normal"/>
    <w:link w:val="Heading2pgbrkChar"/>
    <w:qFormat/>
    <w:rsid w:val="003C5CAB"/>
    <w:pPr>
      <w:keepNext/>
      <w:keepLines/>
      <w:pageBreakBefore/>
      <w:outlineLvl w:val="1"/>
    </w:pPr>
    <w:rPr>
      <w:b/>
      <w:color w:val="7030A0"/>
      <w:sz w:val="32"/>
    </w:rPr>
  </w:style>
  <w:style w:type="character" w:customStyle="1" w:styleId="Heading3pgbrkChar">
    <w:name w:val="Heading 3_pgbrk Char"/>
    <w:basedOn w:val="DefaultParagraphFont"/>
    <w:link w:val="Heading3pgbrk"/>
    <w:rsid w:val="003B5141"/>
    <w:rPr>
      <w:rFonts w:ascii="Arial" w:hAnsi="Arial"/>
      <w:b/>
      <w:color w:val="404040" w:themeColor="text1" w:themeTint="BF"/>
      <w:sz w:val="28"/>
    </w:rPr>
  </w:style>
  <w:style w:type="paragraph" w:customStyle="1" w:styleId="NormalNotes">
    <w:name w:val="Normal_Notes"/>
    <w:next w:val="Normal"/>
    <w:link w:val="NormalNotesChar"/>
    <w:qFormat/>
    <w:rsid w:val="0066049A"/>
    <w:pPr>
      <w:spacing w:after="0" w:line="240" w:lineRule="auto"/>
    </w:pPr>
    <w:rPr>
      <w:rFonts w:ascii="Arial" w:hAnsi="Arial"/>
    </w:rPr>
  </w:style>
  <w:style w:type="character" w:customStyle="1" w:styleId="Heading2pgbrkChar">
    <w:name w:val="Heading 2_pgbrk Char"/>
    <w:basedOn w:val="DefaultParagraphFont"/>
    <w:link w:val="Heading2pgbrk"/>
    <w:rsid w:val="003C5CAB"/>
    <w:rPr>
      <w:rFonts w:ascii="Arial" w:hAnsi="Arial"/>
      <w:b/>
      <w:color w:val="7030A0"/>
      <w:sz w:val="32"/>
    </w:rPr>
  </w:style>
  <w:style w:type="table" w:customStyle="1" w:styleId="ISDPubsTables">
    <w:name w:val="ISD_Pubs_Tables"/>
    <w:basedOn w:val="TableNormal"/>
    <w:uiPriority w:val="99"/>
    <w:qFormat/>
    <w:rsid w:val="00284F20"/>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7030A0"/>
      </w:tcPr>
    </w:tblStylePr>
  </w:style>
  <w:style w:type="table" w:customStyle="1" w:styleId="GlossaryStyle">
    <w:name w:val="Glossary_Style"/>
    <w:basedOn w:val="TableNormal"/>
    <w:uiPriority w:val="99"/>
    <w:qFormat/>
    <w:rsid w:val="00F94244"/>
    <w:pPr>
      <w:spacing w:after="0" w:line="240" w:lineRule="auto"/>
      <w:jc w:val="right"/>
    </w:pPr>
    <w:tblPr/>
    <w:tcPr>
      <w:vAlign w:val="center"/>
    </w:tcPr>
  </w:style>
  <w:style w:type="character" w:customStyle="1" w:styleId="Heading7Char">
    <w:name w:val="Heading 7 Char"/>
    <w:basedOn w:val="DefaultParagraphFont"/>
    <w:link w:val="Heading7"/>
    <w:uiPriority w:val="9"/>
    <w:rsid w:val="00325BCA"/>
    <w:rPr>
      <w:rFonts w:ascii="Arial" w:eastAsiaTheme="majorEastAsia" w:hAnsi="Arial" w:cstheme="majorBidi"/>
      <w:b/>
      <w:iCs/>
      <w:color w:val="7030A0"/>
      <w:sz w:val="32"/>
    </w:rPr>
  </w:style>
  <w:style w:type="paragraph" w:customStyle="1" w:styleId="SmallItalics">
    <w:name w:val="Small_Italics"/>
    <w:basedOn w:val="NormalNotes"/>
    <w:next w:val="NoSpacing"/>
    <w:link w:val="SmallItalicsChar"/>
    <w:rsid w:val="00233364"/>
    <w:rPr>
      <w:i/>
      <w:sz w:val="20"/>
    </w:rPr>
  </w:style>
  <w:style w:type="character" w:customStyle="1" w:styleId="NormalNotesChar">
    <w:name w:val="Normal_Notes Char"/>
    <w:basedOn w:val="DefaultParagraphFont"/>
    <w:link w:val="NormalNotes"/>
    <w:rsid w:val="00D1000C"/>
    <w:rPr>
      <w:rFonts w:ascii="Arial" w:hAnsi="Arial"/>
    </w:rPr>
  </w:style>
  <w:style w:type="character" w:customStyle="1" w:styleId="SmallItalicsChar">
    <w:name w:val="Small_Italics Char"/>
    <w:basedOn w:val="NormalNotesChar"/>
    <w:link w:val="SmallItalics"/>
    <w:rsid w:val="00233364"/>
    <w:rPr>
      <w:rFonts w:ascii="Arial" w:hAnsi="Arial"/>
      <w:i/>
      <w:sz w:val="20"/>
    </w:rPr>
  </w:style>
  <w:style w:type="character" w:styleId="SubtleEmphasis">
    <w:name w:val="Subtle Emphasis"/>
    <w:basedOn w:val="DefaultParagraphFont"/>
    <w:uiPriority w:val="19"/>
    <w:qFormat/>
    <w:rsid w:val="00737140"/>
    <w:rPr>
      <w:i/>
      <w:iCs/>
      <w:color w:val="404040" w:themeColor="text1" w:themeTint="BF"/>
      <w:sz w:val="20"/>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000000"/>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color w:val="0000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color w:val="000000"/>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C4A000"/>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paragraph" w:styleId="TOC1">
    <w:name w:val="toc 1"/>
    <w:basedOn w:val="Normal"/>
    <w:next w:val="Normal"/>
    <w:autoRedefine/>
    <w:uiPriority w:val="39"/>
    <w:unhideWhenUsed/>
    <w:rsid w:val="00D038A1"/>
    <w:pPr>
      <w:spacing w:after="100"/>
    </w:pPr>
  </w:style>
  <w:style w:type="paragraph" w:styleId="TOC2">
    <w:name w:val="toc 2"/>
    <w:basedOn w:val="Normal"/>
    <w:next w:val="Normal"/>
    <w:autoRedefine/>
    <w:uiPriority w:val="39"/>
    <w:unhideWhenUsed/>
    <w:rsid w:val="00D038A1"/>
    <w:pPr>
      <w:spacing w:after="100"/>
      <w:ind w:left="240"/>
    </w:pPr>
  </w:style>
  <w:style w:type="paragraph" w:customStyle="1" w:styleId="PublicationTitle">
    <w:name w:val="Publication Title"/>
    <w:basedOn w:val="Normal"/>
    <w:autoRedefine/>
    <w:qFormat/>
    <w:rsid w:val="00D038A1"/>
    <w:pPr>
      <w:spacing w:before="120" w:after="240" w:line="560" w:lineRule="exact"/>
    </w:pPr>
    <w:rPr>
      <w:b/>
      <w:color w:val="43358B"/>
      <w:spacing w:val="-20"/>
      <w:sz w:val="56"/>
    </w:rPr>
  </w:style>
  <w:style w:type="paragraph" w:customStyle="1" w:styleId="Publicationsubtitle">
    <w:name w:val="Publication subtitle"/>
    <w:basedOn w:val="PublicationTitle"/>
    <w:autoRedefine/>
    <w:qFormat/>
    <w:rsid w:val="00D038A1"/>
    <w:pPr>
      <w:spacing w:line="360" w:lineRule="exact"/>
    </w:pPr>
    <w:rPr>
      <w:sz w:val="36"/>
    </w:rPr>
  </w:style>
  <w:style w:type="paragraph" w:customStyle="1" w:styleId="Cover-footertext">
    <w:name w:val="Cover - footer text"/>
    <w:basedOn w:val="HeaderTitle"/>
    <w:qFormat/>
    <w:rsid w:val="00D038A1"/>
    <w:pPr>
      <w:jc w:val="center"/>
    </w:pPr>
    <w:rPr>
      <w:rFonts w:cs="Arial"/>
      <w:color w:val="FFFFFF" w:themeColor="background1"/>
    </w:rPr>
  </w:style>
  <w:style w:type="character" w:customStyle="1" w:styleId="NoSpacingChar">
    <w:name w:val="No Spacing Char"/>
    <w:basedOn w:val="DefaultParagraphFont"/>
    <w:link w:val="NoSpacing"/>
    <w:uiPriority w:val="1"/>
    <w:rsid w:val="00D03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246301">
      <w:bodyDiv w:val="1"/>
      <w:marLeft w:val="0"/>
      <w:marRight w:val="0"/>
      <w:marTop w:val="0"/>
      <w:marBottom w:val="0"/>
      <w:divBdr>
        <w:top w:val="none" w:sz="0" w:space="0" w:color="auto"/>
        <w:left w:val="none" w:sz="0" w:space="0" w:color="auto"/>
        <w:bottom w:val="none" w:sz="0" w:space="0" w:color="auto"/>
        <w:right w:val="none" w:sz="0" w:space="0" w:color="auto"/>
      </w:divBdr>
    </w:div>
    <w:div w:id="84903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s://www.opendata.nhs.scot/dataset/gp-practice-contact-details-and-list-sizes" TargetMode="External"/><Relationship Id="rId7" Type="http://schemas.openxmlformats.org/officeDocument/2006/relationships/header" Target="header1.xml"/><Relationship Id="rId71" Type="http://schemas.openxmlformats.org/officeDocument/2006/relationships/hyperlink" Target="https://scotland.shinyapps.io/ScotPHO_profiles_tool/"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s://www.opendata.nhs.scot/dataset/hospital-codes" TargetMode="Externa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hyperlink" Target="https://www.isdscotland.org/Products-and-Services/GPD-Support/Population/Standard-Population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careinspectorate.com/images/documents/5713/MDSF_data_31%20May%202020.csv"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www.opendata.nhs.scot/dataset/nhs-scotland-accident-emergency-sites"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46</Pages>
  <Words>5537</Words>
  <Characters>30233</Characters>
  <Application>Microsoft Office Word</Application>
  <DocSecurity>0</DocSecurity>
  <Lines>1007</Lines>
  <Paragraphs>650</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35120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Locality Profile</dc:title>
  <dc:creator/>
  <cp:lastModifiedBy>Cecilia Puech</cp:lastModifiedBy>
  <cp:revision>2</cp:revision>
  <dcterms:created xsi:type="dcterms:W3CDTF">2020-08-12T13:15:00Z</dcterms:created>
  <dcterms:modified xsi:type="dcterms:W3CDTF">2020-08-12T13:22:00Z</dcterms:modified>
</cp:coreProperties>
</file>